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B76FD" w14:textId="77777777" w:rsidR="00C47BC8" w:rsidRDefault="00606574">
      <w:pPr>
        <w:pStyle w:val="Titolo"/>
        <w:spacing w:before="64"/>
        <w:ind w:right="1346" w:firstLine="484"/>
      </w:pPr>
      <w:r>
        <w:rPr>
          <w:sz w:val="18"/>
        </w:rPr>
        <w:t>Informazioni precontrattuali relative ai prodotti finanziari di cui all'articolo 8, paragrafi 1, 2 e 2-bis, del regolamento (UE) 2019/2088 e all'articolo 6,</w:t>
      </w:r>
    </w:p>
    <w:p w14:paraId="5520C15E" w14:textId="77777777" w:rsidR="00C47BC8" w:rsidRDefault="00606574">
      <w:pPr>
        <w:pStyle w:val="Titolo"/>
        <w:ind w:left="4351"/>
      </w:pPr>
      <w:r>
        <w:rPr>
          <w:sz w:val="18"/>
        </w:rPr>
        <w:t>primo comma, del regolamento (UE) 2020/852</w:t>
      </w:r>
    </w:p>
    <w:p w14:paraId="64A71DD8" w14:textId="77777777" w:rsidR="00C47BC8" w:rsidRDefault="00C47BC8">
      <w:pPr>
        <w:pStyle w:val="Corpotesto"/>
        <w:spacing w:before="10"/>
        <w:rPr>
          <w:b/>
          <w:sz w:val="19"/>
        </w:rPr>
      </w:pPr>
    </w:p>
    <w:tbl>
      <w:tblPr>
        <w:tblStyle w:val="TableNormal"/>
        <w:tblW w:w="0" w:type="auto"/>
        <w:tblInd w:w="26" w:type="dxa"/>
        <w:tblBorders>
          <w:top w:val="single" w:sz="4" w:space="0" w:color="E8E8E8"/>
          <w:left w:val="single" w:sz="4" w:space="0" w:color="E8E8E8"/>
          <w:bottom w:val="single" w:sz="4" w:space="0" w:color="E8E8E8"/>
          <w:right w:val="single" w:sz="4" w:space="0" w:color="E8E8E8"/>
          <w:insideH w:val="single" w:sz="4" w:space="0" w:color="E8E8E8"/>
          <w:insideV w:val="single" w:sz="4" w:space="0" w:color="E8E8E8"/>
        </w:tblBorders>
        <w:tblLayout w:type="fixed"/>
        <w:tblLook w:val="01E0" w:firstRow="1" w:lastRow="1" w:firstColumn="1" w:lastColumn="1" w:noHBand="0" w:noVBand="0"/>
      </w:tblPr>
      <w:tblGrid>
        <w:gridCol w:w="2440"/>
        <w:gridCol w:w="408"/>
        <w:gridCol w:w="486"/>
        <w:gridCol w:w="3620"/>
        <w:gridCol w:w="424"/>
        <w:gridCol w:w="3969"/>
      </w:tblGrid>
      <w:tr w:rsidR="00C47BC8" w14:paraId="4F76E5DC" w14:textId="77777777">
        <w:trPr>
          <w:trHeight w:val="460"/>
        </w:trPr>
        <w:tc>
          <w:tcPr>
            <w:tcW w:w="2440" w:type="dxa"/>
            <w:vMerge w:val="restart"/>
            <w:shd w:val="clear" w:color="auto" w:fill="D9D9D9"/>
          </w:tcPr>
          <w:p w14:paraId="7A30DA7B" w14:textId="77777777" w:rsidR="00C47BC8" w:rsidRDefault="00C47BC8">
            <w:pPr>
              <w:pStyle w:val="TableParagraph"/>
              <w:rPr>
                <w:b/>
                <w:sz w:val="18"/>
              </w:rPr>
            </w:pPr>
          </w:p>
          <w:p w14:paraId="3F3A99EB" w14:textId="77777777" w:rsidR="00C47BC8" w:rsidRDefault="00C47BC8">
            <w:pPr>
              <w:pStyle w:val="TableParagraph"/>
              <w:rPr>
                <w:b/>
                <w:sz w:val="18"/>
              </w:rPr>
            </w:pPr>
          </w:p>
          <w:p w14:paraId="462FA250" w14:textId="77777777" w:rsidR="00C47BC8" w:rsidRDefault="00C47BC8">
            <w:pPr>
              <w:pStyle w:val="TableParagraph"/>
              <w:rPr>
                <w:b/>
                <w:sz w:val="18"/>
              </w:rPr>
            </w:pPr>
          </w:p>
          <w:p w14:paraId="2C72BE04" w14:textId="77777777" w:rsidR="00C47BC8" w:rsidRDefault="00C47BC8">
            <w:pPr>
              <w:pStyle w:val="TableParagraph"/>
              <w:rPr>
                <w:b/>
                <w:sz w:val="18"/>
              </w:rPr>
            </w:pPr>
          </w:p>
          <w:p w14:paraId="48F068F5" w14:textId="77777777" w:rsidR="00C47BC8" w:rsidRDefault="00606574">
            <w:pPr>
              <w:pStyle w:val="TableParagraph"/>
              <w:tabs>
                <w:tab w:val="left" w:pos="1459"/>
              </w:tabs>
              <w:ind w:left="260" w:right="96"/>
              <w:jc w:val="both"/>
              <w:rPr>
                <w:sz w:val="18"/>
              </w:rPr>
            </w:pPr>
            <w:r>
              <w:rPr>
                <w:sz w:val="16"/>
              </w:rPr>
              <w:t>Per</w:t>
            </w:r>
            <w:r>
              <w:rPr>
                <w:b/>
                <w:sz w:val="16"/>
              </w:rPr>
              <w:t xml:space="preserve"> investimento sostenibile </w:t>
            </w:r>
            <w:r>
              <w:rPr>
                <w:sz w:val="16"/>
              </w:rPr>
              <w:t>si intende un investimento in un'attività economica che contribuisce a un obiettivo ambientale o sociale, a condizione che l'investimento non danneggi in modo significativo alcun obiettivo ambientale o sociale e che le società beneficiarie</w:t>
            </w:r>
            <w:r>
              <w:rPr>
                <w:sz w:val="16"/>
              </w:rPr>
              <w:tab/>
              <w:t>segua pratiche di buona governance.</w:t>
            </w:r>
          </w:p>
        </w:tc>
        <w:tc>
          <w:tcPr>
            <w:tcW w:w="408" w:type="dxa"/>
          </w:tcPr>
          <w:p w14:paraId="49F7601C" w14:textId="77777777" w:rsidR="00C47BC8" w:rsidRDefault="00C47BC8">
            <w:pPr>
              <w:pStyle w:val="TableParagraph"/>
              <w:rPr>
                <w:rFonts w:ascii="Times New Roman"/>
                <w:sz w:val="18"/>
              </w:rPr>
            </w:pPr>
          </w:p>
        </w:tc>
        <w:tc>
          <w:tcPr>
            <w:tcW w:w="8499" w:type="dxa"/>
            <w:gridSpan w:val="4"/>
          </w:tcPr>
          <w:p w14:paraId="322EFB99" w14:textId="77777777" w:rsidR="00C47BC8" w:rsidRDefault="00606574">
            <w:pPr>
              <w:pStyle w:val="TableParagraph"/>
              <w:ind w:left="7" w:right="2"/>
              <w:jc w:val="center"/>
              <w:rPr>
                <w:b/>
                <w:sz w:val="20"/>
              </w:rPr>
            </w:pPr>
            <w:r>
              <w:rPr>
                <w:b/>
                <w:sz w:val="18"/>
              </w:rPr>
              <w:t>Nome del prodotto: iShares AI Infrastructure UCITS ETF</w:t>
            </w:r>
          </w:p>
        </w:tc>
      </w:tr>
      <w:tr w:rsidR="00C47BC8" w14:paraId="483F0452" w14:textId="77777777">
        <w:trPr>
          <w:trHeight w:val="460"/>
        </w:trPr>
        <w:tc>
          <w:tcPr>
            <w:tcW w:w="2440" w:type="dxa"/>
            <w:vMerge/>
            <w:tcBorders>
              <w:top w:val="nil"/>
            </w:tcBorders>
            <w:shd w:val="clear" w:color="auto" w:fill="D9D9D9"/>
          </w:tcPr>
          <w:p w14:paraId="1F5D1B7D" w14:textId="77777777" w:rsidR="00C47BC8" w:rsidRDefault="00C47BC8">
            <w:pPr>
              <w:rPr>
                <w:sz w:val="2"/>
                <w:szCs w:val="2"/>
              </w:rPr>
            </w:pPr>
          </w:p>
        </w:tc>
        <w:tc>
          <w:tcPr>
            <w:tcW w:w="408" w:type="dxa"/>
          </w:tcPr>
          <w:p w14:paraId="51F459D5" w14:textId="77777777" w:rsidR="00C47BC8" w:rsidRDefault="00C47BC8">
            <w:pPr>
              <w:pStyle w:val="TableParagraph"/>
              <w:rPr>
                <w:rFonts w:ascii="Times New Roman"/>
                <w:sz w:val="18"/>
              </w:rPr>
            </w:pPr>
          </w:p>
        </w:tc>
        <w:tc>
          <w:tcPr>
            <w:tcW w:w="8499" w:type="dxa"/>
            <w:gridSpan w:val="4"/>
          </w:tcPr>
          <w:p w14:paraId="26272EE6" w14:textId="77777777" w:rsidR="00C47BC8" w:rsidRDefault="00606574">
            <w:pPr>
              <w:pStyle w:val="TableParagraph"/>
              <w:ind w:left="7"/>
              <w:jc w:val="center"/>
              <w:rPr>
                <w:b/>
                <w:sz w:val="20"/>
              </w:rPr>
            </w:pPr>
            <w:r>
              <w:rPr>
                <w:b/>
                <w:sz w:val="18"/>
              </w:rPr>
              <w:t>Identificativo della persona giuridica: 529900HH0ETCJJ4WKL15</w:t>
            </w:r>
          </w:p>
        </w:tc>
      </w:tr>
      <w:tr w:rsidR="00C47BC8" w14:paraId="7F207D19" w14:textId="77777777">
        <w:trPr>
          <w:trHeight w:val="700"/>
        </w:trPr>
        <w:tc>
          <w:tcPr>
            <w:tcW w:w="2440" w:type="dxa"/>
            <w:vMerge/>
            <w:tcBorders>
              <w:top w:val="nil"/>
            </w:tcBorders>
            <w:shd w:val="clear" w:color="auto" w:fill="D9D9D9"/>
          </w:tcPr>
          <w:p w14:paraId="3495A4AB" w14:textId="77777777" w:rsidR="00C47BC8" w:rsidRDefault="00C47BC8">
            <w:pPr>
              <w:rPr>
                <w:sz w:val="2"/>
                <w:szCs w:val="2"/>
              </w:rPr>
            </w:pPr>
          </w:p>
        </w:tc>
        <w:tc>
          <w:tcPr>
            <w:tcW w:w="408" w:type="dxa"/>
          </w:tcPr>
          <w:p w14:paraId="6BDAF6A8" w14:textId="77777777" w:rsidR="00C47BC8" w:rsidRDefault="00C47BC8">
            <w:pPr>
              <w:pStyle w:val="TableParagraph"/>
              <w:rPr>
                <w:rFonts w:ascii="Times New Roman"/>
                <w:sz w:val="18"/>
              </w:rPr>
            </w:pPr>
          </w:p>
        </w:tc>
        <w:tc>
          <w:tcPr>
            <w:tcW w:w="8499" w:type="dxa"/>
            <w:gridSpan w:val="4"/>
          </w:tcPr>
          <w:p w14:paraId="4A357042" w14:textId="77777777" w:rsidR="00C47BC8" w:rsidRDefault="00606574">
            <w:pPr>
              <w:pStyle w:val="TableParagraph"/>
              <w:ind w:left="7" w:right="5"/>
              <w:jc w:val="center"/>
              <w:rPr>
                <w:b/>
                <w:sz w:val="28"/>
              </w:rPr>
            </w:pPr>
            <w:r>
              <w:rPr>
                <w:b/>
                <w:color w:val="47AB74"/>
                <w:sz w:val="25"/>
              </w:rPr>
              <w:t>Caratteristiche ambientali e/o sociali</w:t>
            </w:r>
          </w:p>
        </w:tc>
      </w:tr>
      <w:tr w:rsidR="00C47BC8" w14:paraId="55558088" w14:textId="77777777">
        <w:trPr>
          <w:trHeight w:val="554"/>
        </w:trPr>
        <w:tc>
          <w:tcPr>
            <w:tcW w:w="2440" w:type="dxa"/>
            <w:vMerge/>
            <w:tcBorders>
              <w:top w:val="nil"/>
            </w:tcBorders>
            <w:shd w:val="clear" w:color="auto" w:fill="D9D9D9"/>
          </w:tcPr>
          <w:p w14:paraId="1C6C2238" w14:textId="77777777" w:rsidR="00C47BC8" w:rsidRDefault="00C47BC8">
            <w:pPr>
              <w:rPr>
                <w:sz w:val="2"/>
                <w:szCs w:val="2"/>
              </w:rPr>
            </w:pPr>
          </w:p>
        </w:tc>
        <w:tc>
          <w:tcPr>
            <w:tcW w:w="408" w:type="dxa"/>
          </w:tcPr>
          <w:p w14:paraId="7B6974D0" w14:textId="77777777" w:rsidR="00C47BC8" w:rsidRDefault="00C47BC8">
            <w:pPr>
              <w:pStyle w:val="TableParagraph"/>
              <w:rPr>
                <w:rFonts w:ascii="Times New Roman"/>
                <w:sz w:val="18"/>
              </w:rPr>
            </w:pPr>
          </w:p>
        </w:tc>
        <w:tc>
          <w:tcPr>
            <w:tcW w:w="8499" w:type="dxa"/>
            <w:gridSpan w:val="4"/>
            <w:shd w:val="clear" w:color="auto" w:fill="F6C5AC"/>
          </w:tcPr>
          <w:p w14:paraId="17B351CA" w14:textId="77777777" w:rsidR="00C47BC8" w:rsidRDefault="00606574">
            <w:pPr>
              <w:pStyle w:val="TableParagraph"/>
              <w:ind w:left="107"/>
              <w:rPr>
                <w:b/>
                <w:sz w:val="20"/>
              </w:rPr>
            </w:pPr>
            <w:r>
              <w:rPr>
                <w:b/>
                <w:sz w:val="18"/>
              </w:rPr>
              <w:t>Questo prodotto finanziario ha un obiettivo di investimento sostenibile?</w:t>
            </w:r>
          </w:p>
        </w:tc>
      </w:tr>
      <w:tr w:rsidR="00C47BC8" w14:paraId="59F5DC5E" w14:textId="77777777">
        <w:trPr>
          <w:trHeight w:val="335"/>
        </w:trPr>
        <w:tc>
          <w:tcPr>
            <w:tcW w:w="2440" w:type="dxa"/>
            <w:vMerge/>
            <w:tcBorders>
              <w:top w:val="nil"/>
            </w:tcBorders>
            <w:shd w:val="clear" w:color="auto" w:fill="D9D9D9"/>
          </w:tcPr>
          <w:p w14:paraId="4C30CC8E" w14:textId="77777777" w:rsidR="00C47BC8" w:rsidRDefault="00C47BC8">
            <w:pPr>
              <w:rPr>
                <w:sz w:val="2"/>
                <w:szCs w:val="2"/>
              </w:rPr>
            </w:pPr>
          </w:p>
        </w:tc>
        <w:tc>
          <w:tcPr>
            <w:tcW w:w="408" w:type="dxa"/>
          </w:tcPr>
          <w:p w14:paraId="072433B0" w14:textId="77777777" w:rsidR="00C47BC8" w:rsidRDefault="00C47BC8">
            <w:pPr>
              <w:pStyle w:val="TableParagraph"/>
              <w:rPr>
                <w:rFonts w:ascii="Times New Roman"/>
                <w:sz w:val="18"/>
              </w:rPr>
            </w:pPr>
          </w:p>
        </w:tc>
        <w:tc>
          <w:tcPr>
            <w:tcW w:w="4106" w:type="dxa"/>
            <w:gridSpan w:val="2"/>
            <w:shd w:val="clear" w:color="auto" w:fill="F6C5AC"/>
          </w:tcPr>
          <w:p w14:paraId="12DFA116" w14:textId="77777777" w:rsidR="00C47BC8" w:rsidRDefault="00606574">
            <w:pPr>
              <w:pStyle w:val="TableParagraph"/>
              <w:numPr>
                <w:ilvl w:val="0"/>
                <w:numId w:val="11"/>
              </w:numPr>
              <w:tabs>
                <w:tab w:val="left" w:pos="905"/>
              </w:tabs>
              <w:spacing w:line="316" w:lineRule="exact"/>
              <w:ind w:left="905" w:hanging="254"/>
              <w:rPr>
                <w:rFonts w:ascii="Calibri" w:hAnsi="Calibri"/>
                <w:b/>
                <w:sz w:val="24"/>
              </w:rPr>
            </w:pPr>
            <w:r>
              <w:rPr>
                <w:rFonts w:ascii="Calibri" w:hAnsi="Calibri"/>
                <w:b/>
                <w:noProof/>
                <w:sz w:val="24"/>
              </w:rPr>
              <mc:AlternateContent>
                <mc:Choice Requires="wpg">
                  <w:drawing>
                    <wp:anchor distT="0" distB="0" distL="0" distR="0" simplePos="0" relativeHeight="251658240" behindDoc="0" locked="0" layoutInCell="1" allowOverlap="1" wp14:anchorId="1B418BEC" wp14:editId="3CA19083">
                      <wp:simplePos x="0" y="0"/>
                      <wp:positionH relativeFrom="column">
                        <wp:posOffset>68198</wp:posOffset>
                      </wp:positionH>
                      <wp:positionV relativeFrom="paragraph">
                        <wp:posOffset>2413</wp:posOffset>
                      </wp:positionV>
                      <wp:extent cx="231140" cy="102235"/>
                      <wp:effectExtent l="0" t="0" r="0" b="0"/>
                      <wp:wrapNone/>
                      <wp:docPr id="3" name="Group 3"/>
                      <wp:cNvGraphicFramePr/>
                      <a:graphic xmlns:a="http://schemas.openxmlformats.org/drawingml/2006/main">
                        <a:graphicData uri="http://schemas.microsoft.com/office/word/2010/wordprocessingGroup">
                          <wpg:wgp>
                            <wpg:cNvGrpSpPr/>
                            <wpg:grpSpPr>
                              <a:xfrm>
                                <a:off x="0" y="0"/>
                                <a:ext cx="231140" cy="102235"/>
                                <a:chOff x="0" y="0"/>
                                <a:chExt cx="231140" cy="102235"/>
                              </a:xfrm>
                            </wpg:grpSpPr>
                            <pic:pic xmlns:pic="http://schemas.openxmlformats.org/drawingml/2006/picture">
                              <pic:nvPicPr>
                                <pic:cNvPr id="4" name="Image 4"/>
                                <pic:cNvPicPr/>
                              </pic:nvPicPr>
                              <pic:blipFill>
                                <a:blip r:embed="rId7" cstate="print"/>
                                <a:stretch>
                                  <a:fillRect/>
                                </a:stretch>
                              </pic:blipFill>
                              <pic:spPr>
                                <a:xfrm>
                                  <a:off x="0" y="635"/>
                                  <a:ext cx="101600" cy="101600"/>
                                </a:xfrm>
                                <a:prstGeom prst="rect">
                                  <a:avLst/>
                                </a:prstGeom>
                              </pic:spPr>
                            </pic:pic>
                            <pic:pic xmlns:pic="http://schemas.openxmlformats.org/drawingml/2006/picture">
                              <pic:nvPicPr>
                                <pic:cNvPr id="5" name="Image 5"/>
                                <pic:cNvPicPr/>
                              </pic:nvPicPr>
                              <pic:blipFill>
                                <a:blip r:embed="rId8" cstate="print"/>
                                <a:stretch>
                                  <a:fillRect/>
                                </a:stretch>
                              </pic:blipFill>
                              <pic:spPr>
                                <a:xfrm>
                                  <a:off x="129539" y="0"/>
                                  <a:ext cx="101600" cy="101600"/>
                                </a:xfrm>
                                <a:prstGeom prst="rect">
                                  <a:avLst/>
                                </a:prstGeom>
                              </pic:spPr>
                            </pic:pic>
                          </wpg:wgp>
                        </a:graphicData>
                      </a:graphic>
                    </wp:anchor>
                  </w:drawing>
                </mc:Choice>
                <mc:Fallback>
                  <w:pict>
                    <v:group w14:anchorId="723922B5" id="Group 3" o:spid="_x0000_s1026" style="position:absolute;margin-left:5.35pt;margin-top:.2pt;width:18.2pt;height:8.05pt;z-index:251658240;mso-wrap-distance-left:0;mso-wrap-distance-right:0" coordsize="231140,1022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7" type="#_x0000_t75" style="position:absolute;top:635;width:101600;height:1016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">
                        <v:imagedata r:id="rId9" o:title=""/>
                      </v:shape>
                      <v:shape id="Image 5" o:spid="_x0000_s1028" type="#_x0000_t75" style="position:absolute;left:129539;width:101600;height:1016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">
                        <v:imagedata r:id="rId10" o:title=""/>
                      </v:shape>
                    </v:group>
                  </w:pict>
                </mc:Fallback>
              </mc:AlternateContent>
            </w:r>
            <w:r>
              <w:rPr>
                <w:rFonts w:ascii="Calibri" w:hAnsi="Calibri"/>
                <w:b/>
                <w:spacing w:val="-5"/>
              </w:rPr>
              <w:t>Sì</w:t>
            </w:r>
          </w:p>
        </w:tc>
        <w:tc>
          <w:tcPr>
            <w:tcW w:w="4393" w:type="dxa"/>
            <w:gridSpan w:val="2"/>
            <w:shd w:val="clear" w:color="auto" w:fill="F6C5AC"/>
          </w:tcPr>
          <w:p w14:paraId="28337AAC" w14:textId="77777777" w:rsidR="00C47BC8" w:rsidRDefault="00606574">
            <w:pPr>
              <w:pStyle w:val="TableParagraph"/>
              <w:spacing w:line="316" w:lineRule="exact"/>
              <w:ind w:left="358"/>
              <w:rPr>
                <w:b/>
                <w:sz w:val="20"/>
              </w:rPr>
            </w:pPr>
            <w:r>
              <w:rPr>
                <w:b/>
                <w:noProof/>
                <w:sz w:val="20"/>
              </w:rPr>
              <mc:AlternateContent>
                <mc:Choice Requires="wpg">
                  <w:drawing>
                    <wp:anchor distT="0" distB="0" distL="0" distR="0" simplePos="0" relativeHeight="251660288" behindDoc="0" locked="0" layoutInCell="1" allowOverlap="1" wp14:anchorId="1D31B8C6" wp14:editId="178A4CD6">
                      <wp:simplePos x="0" y="0"/>
                      <wp:positionH relativeFrom="column">
                        <wp:posOffset>60197</wp:posOffset>
                      </wp:positionH>
                      <wp:positionV relativeFrom="paragraph">
                        <wp:posOffset>3048</wp:posOffset>
                      </wp:positionV>
                      <wp:extent cx="101600" cy="101600"/>
                      <wp:effectExtent l="0" t="0" r="0" b="0"/>
                      <wp:wrapNone/>
                      <wp:docPr id="6" name="Group 6"/>
                      <wp:cNvGraphicFramePr/>
                      <a:graphic xmlns:a="http://schemas.openxmlformats.org/drawingml/2006/main">
                        <a:graphicData uri="http://schemas.microsoft.com/office/word/2010/wordprocessingGroup">
                          <wpg:wgp>
                            <wpg:cNvGrpSpPr/>
                            <wpg:grpSpPr>
                              <a:xfrm>
                                <a:off x="0" y="0"/>
                                <a:ext cx="101600" cy="101600"/>
                                <a:chOff x="0" y="0"/>
                                <a:chExt cx="101600" cy="101600"/>
                              </a:xfrm>
                            </wpg:grpSpPr>
                            <pic:pic xmlns:pic="http://schemas.openxmlformats.org/drawingml/2006/picture">
                              <pic:nvPicPr>
                                <pic:cNvPr id="7" name="Image 7"/>
                                <pic:cNvPicPr/>
                              </pic:nvPicPr>
                              <pic:blipFill>
                                <a:blip r:embed="rId7" cstate="print"/>
                                <a:stretch>
                                  <a:fillRect/>
                                </a:stretch>
                              </pic:blipFill>
                              <pic:spPr>
                                <a:xfrm>
                                  <a:off x="0" y="0"/>
                                  <a:ext cx="101600" cy="101600"/>
                                </a:xfrm>
                                <a:prstGeom prst="rect">
                                  <a:avLst/>
                                </a:prstGeom>
                              </pic:spPr>
                            </pic:pic>
                          </wpg:wgp>
                        </a:graphicData>
                      </a:graphic>
                    </wp:anchor>
                  </w:drawing>
                </mc:Choice>
                <mc:Fallback>
                  <w:pict>
                    <v:group w14:anchorId="5B1AC072" id="Group 6" o:spid="_x0000_s1026" style="position:absolute;margin-left:4.75pt;margin-top:.25pt;width:8pt;height:8pt;z-index:251660288;mso-wrap-distance-left:0;mso-wrap-distance-right:0" coordsize="101600,1016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">
                      <v:shape id="Image 7" o:spid="_x0000_s1027" type="#_x0000_t75" style="position:absolute;width:101600;height:1016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">
                        <v:imagedata r:id="rId9" o:title=""/>
                      </v:shape>
                    </v:group>
                  </w:pict>
                </mc:Fallback>
              </mc:AlternateContent>
            </w:r>
            <w:r>
              <w:rPr>
                <w:noProof/>
                <w:position w:val="5"/>
              </w:rPr>
              <w:drawing>
                <wp:inline distT="0" distB="0" distL="0" distR="0" wp14:anchorId="2FB27D78" wp14:editId="6D842242">
                  <wp:extent cx="101600" cy="101600"/>
                  <wp:effectExtent l="0" t="0" r="0" b="0"/>
                  <wp:docPr id="8" name="Image 8"/>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1" cstate="print"/>
                          <a:stretch>
                            <a:fillRect/>
                          </a:stretch>
                        </pic:blipFill>
                        <pic:spPr>
                          <a:xfrm>
                            <a:off x="0" y="0"/>
                            <a:ext cx="101600" cy="101600"/>
                          </a:xfrm>
                          <a:prstGeom prst="rect">
                            <a:avLst/>
                          </a:prstGeom>
                        </pic:spPr>
                      </pic:pic>
                    </a:graphicData>
                  </a:graphic>
                </wp:inline>
              </w:drawing>
            </w:r>
            <w:r>
              <w:rPr>
                <w:rFonts w:ascii="Times New Roman" w:hAnsi="Times New Roman"/>
                <w:sz w:val="18"/>
              </w:rPr>
              <w:t xml:space="preserve"> </w:t>
            </w:r>
            <w:r>
              <w:rPr>
                <w:rFonts w:ascii="Arial Unicode MS" w:hAnsi="Arial Unicode MS"/>
                <w:sz w:val="18"/>
              </w:rPr>
              <w:t>✔</w:t>
            </w:r>
            <w:r>
              <w:rPr>
                <w:rFonts w:ascii="Arial Unicode MS" w:hAnsi="Arial Unicode MS"/>
                <w:sz w:val="18"/>
              </w:rPr>
              <w:t xml:space="preserve"> </w:t>
            </w:r>
            <w:r>
              <w:rPr>
                <w:b/>
                <w:sz w:val="18"/>
              </w:rPr>
              <w:t>No</w:t>
            </w:r>
          </w:p>
        </w:tc>
      </w:tr>
      <w:tr w:rsidR="00C47BC8" w14:paraId="2C73C0BF" w14:textId="77777777">
        <w:trPr>
          <w:trHeight w:val="1488"/>
        </w:trPr>
        <w:tc>
          <w:tcPr>
            <w:tcW w:w="2440" w:type="dxa"/>
            <w:vMerge/>
            <w:tcBorders>
              <w:top w:val="nil"/>
            </w:tcBorders>
            <w:shd w:val="clear" w:color="auto" w:fill="D9D9D9"/>
          </w:tcPr>
          <w:p w14:paraId="4813F1B7" w14:textId="77777777" w:rsidR="00C47BC8" w:rsidRDefault="00C47BC8">
            <w:pPr>
              <w:rPr>
                <w:sz w:val="2"/>
                <w:szCs w:val="2"/>
              </w:rPr>
            </w:pPr>
          </w:p>
        </w:tc>
        <w:tc>
          <w:tcPr>
            <w:tcW w:w="408" w:type="dxa"/>
          </w:tcPr>
          <w:p w14:paraId="402CE514" w14:textId="77777777" w:rsidR="00C47BC8" w:rsidRDefault="00C47BC8">
            <w:pPr>
              <w:pStyle w:val="TableParagraph"/>
              <w:rPr>
                <w:rFonts w:ascii="Times New Roman"/>
                <w:sz w:val="18"/>
              </w:rPr>
            </w:pPr>
          </w:p>
        </w:tc>
        <w:tc>
          <w:tcPr>
            <w:tcW w:w="486" w:type="dxa"/>
            <w:shd w:val="clear" w:color="auto" w:fill="F9E1D4"/>
          </w:tcPr>
          <w:p w14:paraId="155D03D0" w14:textId="77777777" w:rsidR="00C47BC8" w:rsidRDefault="00C47BC8">
            <w:pPr>
              <w:pStyle w:val="TableParagraph"/>
              <w:numPr>
                <w:ilvl w:val="0"/>
                <w:numId w:val="10"/>
              </w:numPr>
              <w:tabs>
                <w:tab w:val="left" w:pos="200"/>
              </w:tabs>
              <w:spacing w:line="310" w:lineRule="exact"/>
              <w:ind w:left="200" w:right="59" w:hanging="200"/>
              <w:jc w:val="center"/>
              <w:rPr>
                <w:rFonts w:ascii="Arial Unicode MS" w:hAnsi="Arial Unicode MS"/>
                <w:sz w:val="20"/>
              </w:rPr>
            </w:pPr>
          </w:p>
        </w:tc>
        <w:tc>
          <w:tcPr>
            <w:tcW w:w="3620" w:type="dxa"/>
            <w:shd w:val="clear" w:color="auto" w:fill="F9E1D4"/>
          </w:tcPr>
          <w:p w14:paraId="2C680A58" w14:textId="77777777" w:rsidR="00C47BC8" w:rsidRDefault="00606574">
            <w:pPr>
              <w:pStyle w:val="TableParagraph"/>
              <w:tabs>
                <w:tab w:val="left" w:pos="2578"/>
              </w:tabs>
              <w:ind w:left="107" w:right="739"/>
              <w:rPr>
                <w:sz w:val="18"/>
              </w:rPr>
            </w:pPr>
            <w:r>
              <w:rPr>
                <w:sz w:val="16"/>
              </w:rPr>
              <w:t xml:space="preserve">Effettuerà un numero minimo di </w:t>
            </w:r>
            <w:r>
              <w:rPr>
                <w:b/>
                <w:sz w:val="16"/>
              </w:rPr>
              <w:t xml:space="preserve">investimenti sostenibili con un obiettivo ambientale: </w:t>
            </w:r>
            <w:r>
              <w:rPr>
                <w:sz w:val="16"/>
                <w:u w:val="single"/>
              </w:rPr>
              <w:tab/>
            </w:r>
            <w:r>
              <w:rPr>
                <w:spacing w:val="-10"/>
                <w:sz w:val="16"/>
              </w:rPr>
              <w:t>%</w:t>
            </w:r>
          </w:p>
        </w:tc>
        <w:tc>
          <w:tcPr>
            <w:tcW w:w="424" w:type="dxa"/>
            <w:shd w:val="clear" w:color="auto" w:fill="F9E1D4"/>
          </w:tcPr>
          <w:p w14:paraId="2E61AC42" w14:textId="77777777" w:rsidR="00C47BC8" w:rsidRDefault="00606574">
            <w:pPr>
              <w:pStyle w:val="TableParagraph"/>
              <w:spacing w:line="310" w:lineRule="exact"/>
              <w:ind w:left="1"/>
              <w:jc w:val="center"/>
              <w:rPr>
                <w:rFonts w:ascii="Arial Unicode MS" w:hAnsi="Arial Unicode MS"/>
                <w:sz w:val="20"/>
              </w:rPr>
            </w:pPr>
            <w:r>
              <w:rPr>
                <w:rFonts w:ascii="Arial Unicode MS" w:hAnsi="Arial Unicode MS"/>
                <w:spacing w:val="-10"/>
                <w:w w:val="120"/>
                <w:sz w:val="18"/>
              </w:rPr>
              <w:t>✔</w:t>
            </w:r>
          </w:p>
        </w:tc>
        <w:tc>
          <w:tcPr>
            <w:tcW w:w="3969" w:type="dxa"/>
            <w:shd w:val="clear" w:color="auto" w:fill="F9E1D4"/>
          </w:tcPr>
          <w:p w14:paraId="741A3518" w14:textId="77777777" w:rsidR="00C47BC8" w:rsidRDefault="00606574">
            <w:pPr>
              <w:pStyle w:val="TableParagraph"/>
              <w:ind w:left="106" w:right="92"/>
              <w:rPr>
                <w:sz w:val="18"/>
              </w:rPr>
            </w:pPr>
            <w:r>
              <w:rPr>
                <w:b/>
                <w:sz w:val="16"/>
              </w:rPr>
              <w:t xml:space="preserve">Promuove caratteristiche ambientali/sociali (E/S) </w:t>
            </w:r>
            <w:r>
              <w:rPr>
                <w:sz w:val="16"/>
              </w:rPr>
              <w:t>e, pur non avendo come obiettivo un investimento sostenibile, avrà una quota minima del 20% di investimenti sostenibili</w:t>
            </w:r>
          </w:p>
        </w:tc>
      </w:tr>
      <w:tr w:rsidR="00C47BC8" w14:paraId="1395EA32" w14:textId="77777777">
        <w:trPr>
          <w:trHeight w:val="1147"/>
        </w:trPr>
        <w:tc>
          <w:tcPr>
            <w:tcW w:w="2440" w:type="dxa"/>
            <w:vMerge w:val="restart"/>
            <w:shd w:val="clear" w:color="auto" w:fill="D9D9D9"/>
          </w:tcPr>
          <w:p w14:paraId="6FB62FEF" w14:textId="77777777" w:rsidR="00C47BC8" w:rsidRDefault="00606574">
            <w:pPr>
              <w:pStyle w:val="TableParagraph"/>
              <w:ind w:left="260" w:right="96"/>
              <w:jc w:val="both"/>
              <w:rPr>
                <w:sz w:val="18"/>
              </w:rPr>
            </w:pPr>
            <w:r>
              <w:rPr>
                <w:b/>
                <w:sz w:val="16"/>
              </w:rPr>
              <w:t xml:space="preserve">La tassonomia dell'UE </w:t>
            </w:r>
            <w:r>
              <w:rPr>
                <w:sz w:val="16"/>
              </w:rPr>
              <w:t xml:space="preserve">è un sistema di classificazione stabilito dal regolamento (UE) 2020/852, che definisce un elenco di </w:t>
            </w:r>
            <w:r>
              <w:rPr>
                <w:b/>
                <w:sz w:val="16"/>
              </w:rPr>
              <w:t>attività economiche sostenibili dal punto di vista ambientale</w:t>
            </w:r>
            <w:r>
              <w:rPr>
                <w:spacing w:val="-2"/>
                <w:sz w:val="16"/>
              </w:rPr>
              <w:t>.</w:t>
            </w:r>
          </w:p>
          <w:p w14:paraId="3B59C7C7" w14:textId="77777777" w:rsidR="00C47BC8" w:rsidRDefault="00606574">
            <w:pPr>
              <w:pStyle w:val="TableParagraph"/>
              <w:ind w:left="260" w:right="98"/>
              <w:jc w:val="both"/>
              <w:rPr>
                <w:sz w:val="18"/>
              </w:rPr>
            </w:pPr>
            <w:r>
              <w:rPr>
                <w:sz w:val="16"/>
              </w:rPr>
              <w:t>Tale regolamento non include un elenco di attività economiche socialmente sostenibili.</w:t>
            </w:r>
          </w:p>
          <w:p w14:paraId="7E52031E" w14:textId="77777777" w:rsidR="00C47BC8" w:rsidRDefault="00606574">
            <w:pPr>
              <w:pStyle w:val="TableParagraph"/>
              <w:ind w:left="260" w:right="97"/>
              <w:jc w:val="both"/>
              <w:rPr>
                <w:sz w:val="18"/>
              </w:rPr>
            </w:pPr>
            <w:r>
              <w:rPr>
                <w:sz w:val="16"/>
              </w:rPr>
              <w:t>Gli investimenti sostenibili con un obiettivo ambientale potrebbero essere allineati alla tassonomia oppure no.</w:t>
            </w:r>
          </w:p>
        </w:tc>
        <w:tc>
          <w:tcPr>
            <w:tcW w:w="408" w:type="dxa"/>
          </w:tcPr>
          <w:p w14:paraId="2B4E9055" w14:textId="77777777" w:rsidR="00C47BC8" w:rsidRDefault="00C47BC8">
            <w:pPr>
              <w:pStyle w:val="TableParagraph"/>
              <w:rPr>
                <w:rFonts w:ascii="Times New Roman"/>
                <w:sz w:val="18"/>
              </w:rPr>
            </w:pPr>
          </w:p>
        </w:tc>
        <w:tc>
          <w:tcPr>
            <w:tcW w:w="486" w:type="dxa"/>
            <w:shd w:val="clear" w:color="auto" w:fill="F9E1D4"/>
          </w:tcPr>
          <w:p w14:paraId="0003DF3B" w14:textId="77777777" w:rsidR="00C47BC8" w:rsidRDefault="00C47BC8">
            <w:pPr>
              <w:pStyle w:val="TableParagraph"/>
              <w:numPr>
                <w:ilvl w:val="0"/>
                <w:numId w:val="9"/>
              </w:numPr>
              <w:tabs>
                <w:tab w:val="left" w:pos="200"/>
              </w:tabs>
              <w:spacing w:line="310" w:lineRule="exact"/>
              <w:ind w:left="200" w:right="59" w:hanging="200"/>
              <w:jc w:val="center"/>
              <w:rPr>
                <w:rFonts w:ascii="Arial Unicode MS" w:hAnsi="Arial Unicode MS"/>
                <w:sz w:val="20"/>
              </w:rPr>
            </w:pPr>
          </w:p>
        </w:tc>
        <w:tc>
          <w:tcPr>
            <w:tcW w:w="3620" w:type="dxa"/>
            <w:shd w:val="clear" w:color="auto" w:fill="F9E1D4"/>
          </w:tcPr>
          <w:p w14:paraId="2F977F73" w14:textId="77777777" w:rsidR="00C47BC8" w:rsidRDefault="00606574">
            <w:pPr>
              <w:pStyle w:val="TableParagraph"/>
              <w:ind w:left="278"/>
              <w:rPr>
                <w:sz w:val="16"/>
              </w:rPr>
            </w:pPr>
            <w:r>
              <w:rPr>
                <w:sz w:val="14"/>
              </w:rPr>
              <w:t>in attività economiche che si qualificano come sostenibili dal punto di vista ambientale ai sensi della Tassonomia UE</w:t>
            </w:r>
          </w:p>
        </w:tc>
        <w:tc>
          <w:tcPr>
            <w:tcW w:w="424" w:type="dxa"/>
            <w:shd w:val="clear" w:color="auto" w:fill="F9E1D4"/>
          </w:tcPr>
          <w:p w14:paraId="62012E47" w14:textId="77777777" w:rsidR="00C47BC8" w:rsidRDefault="00C47BC8">
            <w:pPr>
              <w:pStyle w:val="TableParagraph"/>
              <w:numPr>
                <w:ilvl w:val="0"/>
                <w:numId w:val="8"/>
              </w:numPr>
              <w:tabs>
                <w:tab w:val="left" w:pos="201"/>
              </w:tabs>
              <w:spacing w:line="310" w:lineRule="exact"/>
              <w:ind w:left="201" w:hanging="200"/>
              <w:jc w:val="center"/>
              <w:rPr>
                <w:rFonts w:ascii="Arial Unicode MS" w:hAnsi="Arial Unicode MS"/>
                <w:sz w:val="20"/>
              </w:rPr>
            </w:pPr>
          </w:p>
        </w:tc>
        <w:tc>
          <w:tcPr>
            <w:tcW w:w="3969" w:type="dxa"/>
            <w:shd w:val="clear" w:color="auto" w:fill="F9E1D4"/>
          </w:tcPr>
          <w:p w14:paraId="625936BD" w14:textId="77777777" w:rsidR="00C47BC8" w:rsidRDefault="00606574">
            <w:pPr>
              <w:pStyle w:val="TableParagraph"/>
              <w:ind w:left="277" w:right="925"/>
              <w:rPr>
                <w:sz w:val="16"/>
              </w:rPr>
            </w:pPr>
            <w:r>
              <w:rPr>
                <w:sz w:val="14"/>
              </w:rPr>
              <w:t>con un obiettivo ambientale in attività economiche che si qualificano come sostenibili dal punto di vista ambientale ai sensi della Tassonomia UE</w:t>
            </w:r>
          </w:p>
        </w:tc>
      </w:tr>
      <w:tr w:rsidR="00C47BC8" w14:paraId="759E0460" w14:textId="77777777">
        <w:trPr>
          <w:trHeight w:val="1135"/>
        </w:trPr>
        <w:tc>
          <w:tcPr>
            <w:tcW w:w="2440" w:type="dxa"/>
            <w:vMerge/>
            <w:tcBorders>
              <w:top w:val="nil"/>
            </w:tcBorders>
            <w:shd w:val="clear" w:color="auto" w:fill="D9D9D9"/>
          </w:tcPr>
          <w:p w14:paraId="79464B77" w14:textId="77777777" w:rsidR="00C47BC8" w:rsidRDefault="00C47BC8">
            <w:pPr>
              <w:rPr>
                <w:sz w:val="2"/>
                <w:szCs w:val="2"/>
              </w:rPr>
            </w:pPr>
          </w:p>
        </w:tc>
        <w:tc>
          <w:tcPr>
            <w:tcW w:w="408" w:type="dxa"/>
          </w:tcPr>
          <w:p w14:paraId="18CA0321" w14:textId="77777777" w:rsidR="00C47BC8" w:rsidRDefault="00C47BC8">
            <w:pPr>
              <w:pStyle w:val="TableParagraph"/>
              <w:rPr>
                <w:rFonts w:ascii="Times New Roman"/>
                <w:sz w:val="18"/>
              </w:rPr>
            </w:pPr>
          </w:p>
        </w:tc>
        <w:tc>
          <w:tcPr>
            <w:tcW w:w="486" w:type="dxa"/>
            <w:vMerge w:val="restart"/>
            <w:shd w:val="clear" w:color="auto" w:fill="F9E1D4"/>
          </w:tcPr>
          <w:p w14:paraId="18E6B5DF" w14:textId="77777777" w:rsidR="00C47BC8" w:rsidRDefault="00C47BC8">
            <w:pPr>
              <w:pStyle w:val="TableParagraph"/>
              <w:numPr>
                <w:ilvl w:val="0"/>
                <w:numId w:val="7"/>
              </w:numPr>
              <w:tabs>
                <w:tab w:val="left" w:pos="307"/>
              </w:tabs>
              <w:spacing w:line="310" w:lineRule="exact"/>
              <w:ind w:left="307" w:hanging="200"/>
              <w:rPr>
                <w:rFonts w:ascii="Arial Unicode MS" w:hAnsi="Arial Unicode MS"/>
                <w:sz w:val="20"/>
              </w:rPr>
            </w:pPr>
          </w:p>
        </w:tc>
        <w:tc>
          <w:tcPr>
            <w:tcW w:w="3620" w:type="dxa"/>
            <w:vMerge w:val="restart"/>
            <w:shd w:val="clear" w:color="auto" w:fill="F9E1D4"/>
          </w:tcPr>
          <w:p w14:paraId="65DBFE48" w14:textId="77777777" w:rsidR="00C47BC8" w:rsidRDefault="00606574">
            <w:pPr>
              <w:pStyle w:val="TableParagraph"/>
              <w:ind w:left="278"/>
              <w:rPr>
                <w:sz w:val="16"/>
              </w:rPr>
            </w:pPr>
            <w:r>
              <w:rPr>
                <w:sz w:val="14"/>
              </w:rPr>
              <w:t>in attività economiche che non sono considerate sostenibili dal punto di vista ambientale ai sensi della tassonomia dell’UE</w:t>
            </w:r>
          </w:p>
        </w:tc>
        <w:tc>
          <w:tcPr>
            <w:tcW w:w="424" w:type="dxa"/>
            <w:shd w:val="clear" w:color="auto" w:fill="F9E1D4"/>
          </w:tcPr>
          <w:p w14:paraId="43B6FAEE" w14:textId="77777777" w:rsidR="00C47BC8" w:rsidRDefault="00606574">
            <w:pPr>
              <w:pStyle w:val="TableParagraph"/>
              <w:spacing w:line="310" w:lineRule="exact"/>
              <w:ind w:left="1"/>
              <w:jc w:val="center"/>
              <w:rPr>
                <w:rFonts w:ascii="Arial Unicode MS" w:hAnsi="Arial Unicode MS"/>
                <w:sz w:val="20"/>
              </w:rPr>
            </w:pPr>
            <w:r>
              <w:rPr>
                <w:rFonts w:ascii="Arial Unicode MS" w:hAnsi="Arial Unicode MS"/>
                <w:spacing w:val="-10"/>
                <w:w w:val="120"/>
                <w:sz w:val="18"/>
              </w:rPr>
              <w:t>✔</w:t>
            </w:r>
          </w:p>
        </w:tc>
        <w:tc>
          <w:tcPr>
            <w:tcW w:w="3969" w:type="dxa"/>
            <w:shd w:val="clear" w:color="auto" w:fill="F9E1D4"/>
          </w:tcPr>
          <w:p w14:paraId="5DC55014" w14:textId="77777777" w:rsidR="00C47BC8" w:rsidRDefault="00606574">
            <w:pPr>
              <w:pStyle w:val="TableParagraph"/>
              <w:ind w:left="277" w:right="925"/>
              <w:rPr>
                <w:sz w:val="16"/>
              </w:rPr>
            </w:pPr>
            <w:r>
              <w:rPr>
                <w:sz w:val="14"/>
              </w:rPr>
              <w:t>con un obiettivo ambientale in attività economiche che non sono considerate sostenibili dal punto di vista ambientale secondo la Tassonomia dell'UE</w:t>
            </w:r>
          </w:p>
        </w:tc>
      </w:tr>
      <w:tr w:rsidR="00C47BC8" w14:paraId="24DB0407" w14:textId="77777777">
        <w:trPr>
          <w:trHeight w:val="400"/>
        </w:trPr>
        <w:tc>
          <w:tcPr>
            <w:tcW w:w="2440" w:type="dxa"/>
            <w:vMerge/>
            <w:tcBorders>
              <w:top w:val="nil"/>
            </w:tcBorders>
            <w:shd w:val="clear" w:color="auto" w:fill="D9D9D9"/>
          </w:tcPr>
          <w:p w14:paraId="4A1AD368" w14:textId="77777777" w:rsidR="00C47BC8" w:rsidRDefault="00C47BC8">
            <w:pPr>
              <w:rPr>
                <w:sz w:val="2"/>
                <w:szCs w:val="2"/>
              </w:rPr>
            </w:pPr>
          </w:p>
        </w:tc>
        <w:tc>
          <w:tcPr>
            <w:tcW w:w="408" w:type="dxa"/>
          </w:tcPr>
          <w:p w14:paraId="022D126E" w14:textId="77777777" w:rsidR="00C47BC8" w:rsidRDefault="00C47BC8">
            <w:pPr>
              <w:pStyle w:val="TableParagraph"/>
              <w:rPr>
                <w:rFonts w:ascii="Times New Roman"/>
                <w:sz w:val="18"/>
              </w:rPr>
            </w:pPr>
          </w:p>
        </w:tc>
        <w:tc>
          <w:tcPr>
            <w:tcW w:w="486" w:type="dxa"/>
            <w:vMerge/>
            <w:tcBorders>
              <w:top w:val="nil"/>
            </w:tcBorders>
            <w:shd w:val="clear" w:color="auto" w:fill="F9E1D4"/>
          </w:tcPr>
          <w:p w14:paraId="1628AAAE" w14:textId="77777777" w:rsidR="00C47BC8" w:rsidRDefault="00C47BC8">
            <w:pPr>
              <w:rPr>
                <w:sz w:val="2"/>
                <w:szCs w:val="2"/>
              </w:rPr>
            </w:pPr>
          </w:p>
        </w:tc>
        <w:tc>
          <w:tcPr>
            <w:tcW w:w="3620" w:type="dxa"/>
            <w:vMerge/>
            <w:tcBorders>
              <w:top w:val="nil"/>
            </w:tcBorders>
            <w:shd w:val="clear" w:color="auto" w:fill="F9E1D4"/>
          </w:tcPr>
          <w:p w14:paraId="312888D7" w14:textId="77777777" w:rsidR="00C47BC8" w:rsidRDefault="00C47BC8">
            <w:pPr>
              <w:rPr>
                <w:sz w:val="2"/>
                <w:szCs w:val="2"/>
              </w:rPr>
            </w:pPr>
          </w:p>
        </w:tc>
        <w:tc>
          <w:tcPr>
            <w:tcW w:w="424" w:type="dxa"/>
            <w:shd w:val="clear" w:color="auto" w:fill="F9E1D4"/>
          </w:tcPr>
          <w:p w14:paraId="7B16705A" w14:textId="77777777" w:rsidR="00C47BC8" w:rsidRDefault="00606574">
            <w:pPr>
              <w:pStyle w:val="TableParagraph"/>
              <w:spacing w:line="310" w:lineRule="exact"/>
              <w:ind w:left="1"/>
              <w:jc w:val="center"/>
              <w:rPr>
                <w:rFonts w:ascii="Arial Unicode MS" w:hAnsi="Arial Unicode MS"/>
                <w:sz w:val="20"/>
              </w:rPr>
            </w:pPr>
            <w:r>
              <w:rPr>
                <w:rFonts w:ascii="Arial Unicode MS" w:hAnsi="Arial Unicode MS"/>
                <w:spacing w:val="-10"/>
                <w:w w:val="120"/>
                <w:sz w:val="18"/>
              </w:rPr>
              <w:t>✔</w:t>
            </w:r>
          </w:p>
        </w:tc>
        <w:tc>
          <w:tcPr>
            <w:tcW w:w="3969" w:type="dxa"/>
            <w:shd w:val="clear" w:color="auto" w:fill="F9E1D4"/>
          </w:tcPr>
          <w:p w14:paraId="26E11B24" w14:textId="77777777" w:rsidR="00C47BC8" w:rsidRDefault="00606574">
            <w:pPr>
              <w:pStyle w:val="TableParagraph"/>
              <w:spacing w:line="184" w:lineRule="exact"/>
              <w:ind w:left="277"/>
              <w:rPr>
                <w:sz w:val="16"/>
              </w:rPr>
            </w:pPr>
            <w:r>
              <w:rPr>
                <w:sz w:val="14"/>
              </w:rPr>
              <w:t>con un obiettivo sociale</w:t>
            </w:r>
          </w:p>
        </w:tc>
      </w:tr>
      <w:tr w:rsidR="00C47BC8" w14:paraId="69BCEB59" w14:textId="77777777">
        <w:trPr>
          <w:trHeight w:val="988"/>
        </w:trPr>
        <w:tc>
          <w:tcPr>
            <w:tcW w:w="2440" w:type="dxa"/>
            <w:vMerge/>
            <w:tcBorders>
              <w:top w:val="nil"/>
            </w:tcBorders>
            <w:shd w:val="clear" w:color="auto" w:fill="D9D9D9"/>
          </w:tcPr>
          <w:p w14:paraId="0136531E" w14:textId="77777777" w:rsidR="00C47BC8" w:rsidRDefault="00C47BC8">
            <w:pPr>
              <w:rPr>
                <w:sz w:val="2"/>
                <w:szCs w:val="2"/>
              </w:rPr>
            </w:pPr>
          </w:p>
        </w:tc>
        <w:tc>
          <w:tcPr>
            <w:tcW w:w="408" w:type="dxa"/>
          </w:tcPr>
          <w:p w14:paraId="1C1F5FD2" w14:textId="77777777" w:rsidR="00C47BC8" w:rsidRDefault="00C47BC8">
            <w:pPr>
              <w:pStyle w:val="TableParagraph"/>
              <w:rPr>
                <w:rFonts w:ascii="Times New Roman"/>
                <w:sz w:val="18"/>
              </w:rPr>
            </w:pPr>
          </w:p>
        </w:tc>
        <w:tc>
          <w:tcPr>
            <w:tcW w:w="486" w:type="dxa"/>
            <w:shd w:val="clear" w:color="auto" w:fill="F9E1D4"/>
          </w:tcPr>
          <w:p w14:paraId="7AABBE6C" w14:textId="77777777" w:rsidR="00C47BC8" w:rsidRDefault="00C47BC8">
            <w:pPr>
              <w:pStyle w:val="TableParagraph"/>
              <w:numPr>
                <w:ilvl w:val="0"/>
                <w:numId w:val="6"/>
              </w:numPr>
              <w:tabs>
                <w:tab w:val="left" w:pos="200"/>
              </w:tabs>
              <w:spacing w:line="311" w:lineRule="exact"/>
              <w:ind w:left="200" w:right="59" w:hanging="200"/>
              <w:jc w:val="center"/>
              <w:rPr>
                <w:rFonts w:ascii="Arial Unicode MS" w:hAnsi="Arial Unicode MS"/>
                <w:sz w:val="20"/>
              </w:rPr>
            </w:pPr>
          </w:p>
        </w:tc>
        <w:tc>
          <w:tcPr>
            <w:tcW w:w="3620" w:type="dxa"/>
            <w:shd w:val="clear" w:color="auto" w:fill="F9E1D4"/>
          </w:tcPr>
          <w:p w14:paraId="29B53759" w14:textId="77777777" w:rsidR="00C47BC8" w:rsidRDefault="00606574">
            <w:pPr>
              <w:pStyle w:val="TableParagraph"/>
              <w:spacing w:line="207" w:lineRule="exact"/>
              <w:ind w:left="107"/>
              <w:rPr>
                <w:sz w:val="18"/>
              </w:rPr>
            </w:pPr>
            <w:r>
              <w:rPr>
                <w:sz w:val="16"/>
              </w:rPr>
              <w:t>Effettuerà almeno</w:t>
            </w:r>
          </w:p>
          <w:p w14:paraId="2819282D" w14:textId="77777777" w:rsidR="00C47BC8" w:rsidRDefault="00606574">
            <w:pPr>
              <w:pStyle w:val="TableParagraph"/>
              <w:tabs>
                <w:tab w:val="left" w:pos="1288"/>
              </w:tabs>
              <w:ind w:left="107" w:right="289"/>
              <w:rPr>
                <w:sz w:val="18"/>
              </w:rPr>
            </w:pPr>
            <w:r>
              <w:rPr>
                <w:b/>
                <w:sz w:val="16"/>
              </w:rPr>
              <w:t>investimenti sostenibili con un obiettivo sociale</w:t>
            </w:r>
            <w:r>
              <w:rPr>
                <w:sz w:val="16"/>
              </w:rPr>
              <w:t xml:space="preserve">: </w:t>
            </w:r>
            <w:r>
              <w:rPr>
                <w:sz w:val="16"/>
                <w:u w:val="single"/>
              </w:rPr>
              <w:tab/>
            </w:r>
            <w:r>
              <w:rPr>
                <w:spacing w:val="-10"/>
                <w:sz w:val="16"/>
              </w:rPr>
              <w:t>%</w:t>
            </w:r>
          </w:p>
        </w:tc>
        <w:tc>
          <w:tcPr>
            <w:tcW w:w="424" w:type="dxa"/>
            <w:shd w:val="clear" w:color="auto" w:fill="F9E1D4"/>
          </w:tcPr>
          <w:p w14:paraId="68270DD4" w14:textId="77777777" w:rsidR="00C47BC8" w:rsidRDefault="00C47BC8">
            <w:pPr>
              <w:pStyle w:val="TableParagraph"/>
              <w:numPr>
                <w:ilvl w:val="0"/>
                <w:numId w:val="5"/>
              </w:numPr>
              <w:tabs>
                <w:tab w:val="left" w:pos="201"/>
              </w:tabs>
              <w:spacing w:line="311" w:lineRule="exact"/>
              <w:ind w:left="201" w:hanging="200"/>
              <w:jc w:val="center"/>
              <w:rPr>
                <w:rFonts w:ascii="Arial Unicode MS" w:hAnsi="Arial Unicode MS"/>
                <w:sz w:val="20"/>
              </w:rPr>
            </w:pPr>
          </w:p>
        </w:tc>
        <w:tc>
          <w:tcPr>
            <w:tcW w:w="3969" w:type="dxa"/>
            <w:shd w:val="clear" w:color="auto" w:fill="F9E1D4"/>
          </w:tcPr>
          <w:p w14:paraId="3D4A62CB" w14:textId="77777777" w:rsidR="00C47BC8" w:rsidRDefault="00606574">
            <w:pPr>
              <w:pStyle w:val="TableParagraph"/>
              <w:ind w:left="106" w:right="92"/>
              <w:rPr>
                <w:b/>
                <w:sz w:val="18"/>
              </w:rPr>
            </w:pPr>
            <w:r>
              <w:rPr>
                <w:sz w:val="16"/>
              </w:rPr>
              <w:t xml:space="preserve">Promuove caratteristiche E/S, ma </w:t>
            </w:r>
            <w:r>
              <w:rPr>
                <w:b/>
                <w:sz w:val="16"/>
              </w:rPr>
              <w:t>non effettuerà alcun investimento sostenibile</w:t>
            </w:r>
          </w:p>
        </w:tc>
      </w:tr>
      <w:tr w:rsidR="00C47BC8" w14:paraId="4FE04717" w14:textId="77777777">
        <w:trPr>
          <w:trHeight w:val="726"/>
        </w:trPr>
        <w:tc>
          <w:tcPr>
            <w:tcW w:w="2440" w:type="dxa"/>
          </w:tcPr>
          <w:p w14:paraId="0F9D9ADD" w14:textId="77777777" w:rsidR="00C47BC8" w:rsidRDefault="00606574">
            <w:pPr>
              <w:pStyle w:val="TableParagraph"/>
              <w:ind w:left="108"/>
              <w:rPr>
                <w:sz w:val="20"/>
              </w:rPr>
            </w:pPr>
            <w:r>
              <w:rPr>
                <w:noProof/>
                <w:sz w:val="20"/>
              </w:rPr>
              <w:drawing>
                <wp:inline distT="0" distB="0" distL="0" distR="0" wp14:anchorId="01232AA0" wp14:editId="3D26FE4A">
                  <wp:extent cx="1326094" cy="457200"/>
                  <wp:effectExtent l="0" t="0" r="0" b="0"/>
                  <wp:docPr id="9" name="Image 9"/>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2" cstate="print"/>
                          <a:stretch>
                            <a:fillRect/>
                          </a:stretch>
                        </pic:blipFill>
                        <pic:spPr>
                          <a:xfrm>
                            <a:off x="0" y="0"/>
                            <a:ext cx="1326094" cy="457200"/>
                          </a:xfrm>
                          <a:prstGeom prst="rect">
                            <a:avLst/>
                          </a:prstGeom>
                        </pic:spPr>
                      </pic:pic>
                    </a:graphicData>
                  </a:graphic>
                </wp:inline>
              </w:drawing>
            </w:r>
          </w:p>
        </w:tc>
        <w:tc>
          <w:tcPr>
            <w:tcW w:w="408" w:type="dxa"/>
          </w:tcPr>
          <w:p w14:paraId="2C4AC87C" w14:textId="77777777" w:rsidR="00C47BC8" w:rsidRDefault="00C47BC8">
            <w:pPr>
              <w:pStyle w:val="TableParagraph"/>
              <w:rPr>
                <w:rFonts w:ascii="Times New Roman"/>
                <w:sz w:val="18"/>
              </w:rPr>
            </w:pPr>
          </w:p>
        </w:tc>
        <w:tc>
          <w:tcPr>
            <w:tcW w:w="8499" w:type="dxa"/>
            <w:gridSpan w:val="4"/>
          </w:tcPr>
          <w:p w14:paraId="4BF9F95D" w14:textId="77777777" w:rsidR="00C47BC8" w:rsidRDefault="00606574">
            <w:pPr>
              <w:pStyle w:val="TableParagraph"/>
              <w:ind w:left="107" w:right="98"/>
              <w:rPr>
                <w:b/>
                <w:sz w:val="20"/>
              </w:rPr>
            </w:pPr>
            <w:r>
              <w:rPr>
                <w:b/>
                <w:sz w:val="18"/>
              </w:rPr>
              <w:t>Quali caratteristiche ambientali e/o sociali sono promosse da questo prodotto finanziario?</w:t>
            </w:r>
          </w:p>
        </w:tc>
      </w:tr>
      <w:tr w:rsidR="00C47BC8" w14:paraId="57B92428" w14:textId="77777777">
        <w:trPr>
          <w:trHeight w:val="4160"/>
        </w:trPr>
        <w:tc>
          <w:tcPr>
            <w:tcW w:w="2440" w:type="dxa"/>
          </w:tcPr>
          <w:p w14:paraId="6A14232E" w14:textId="77777777" w:rsidR="00C47BC8" w:rsidRDefault="00C47BC8">
            <w:pPr>
              <w:pStyle w:val="TableParagraph"/>
              <w:rPr>
                <w:rFonts w:ascii="Times New Roman"/>
                <w:sz w:val="18"/>
              </w:rPr>
            </w:pPr>
          </w:p>
        </w:tc>
        <w:tc>
          <w:tcPr>
            <w:tcW w:w="408" w:type="dxa"/>
          </w:tcPr>
          <w:p w14:paraId="21969625" w14:textId="77777777" w:rsidR="00C47BC8" w:rsidRDefault="00C47BC8">
            <w:pPr>
              <w:pStyle w:val="TableParagraph"/>
              <w:rPr>
                <w:rFonts w:ascii="Times New Roman"/>
                <w:sz w:val="18"/>
              </w:rPr>
            </w:pPr>
          </w:p>
        </w:tc>
        <w:tc>
          <w:tcPr>
            <w:tcW w:w="8499" w:type="dxa"/>
            <w:gridSpan w:val="4"/>
          </w:tcPr>
          <w:p w14:paraId="290ADBA4" w14:textId="77777777" w:rsidR="00C47BC8" w:rsidRDefault="00606574">
            <w:pPr>
              <w:pStyle w:val="TableParagraph"/>
              <w:ind w:left="107" w:right="97"/>
              <w:jc w:val="both"/>
              <w:rPr>
                <w:sz w:val="20"/>
              </w:rPr>
            </w:pPr>
            <w:r>
              <w:rPr>
                <w:sz w:val="18"/>
              </w:rPr>
              <w:t>Il Fondo promuove caratteristiche ambientali relative alla riduzione dell’utilizzo di risorse naturali non rinnovabili e dell’inquinamento, escludendo gli investimenti diretti in emittenti coinvolti, ad esempio, nel carbone termico, nel petrolio e nel gas non convenzionali, nel petrolio e nel gas convenzionali e nell’energia nucleare, il tutto in linea con l’indice di riferimento del Fondo, lo STOXX Global AI Infrastructure Index.</w:t>
            </w:r>
          </w:p>
          <w:p w14:paraId="2098E006" w14:textId="77777777" w:rsidR="00C47BC8" w:rsidRDefault="00C47BC8">
            <w:pPr>
              <w:pStyle w:val="TableParagraph"/>
              <w:rPr>
                <w:b/>
                <w:sz w:val="20"/>
              </w:rPr>
            </w:pPr>
          </w:p>
          <w:p w14:paraId="23D6F78F" w14:textId="77777777" w:rsidR="00C47BC8" w:rsidRDefault="00606574">
            <w:pPr>
              <w:pStyle w:val="TableParagraph"/>
              <w:ind w:left="107" w:right="96"/>
              <w:jc w:val="both"/>
              <w:rPr>
                <w:sz w:val="20"/>
              </w:rPr>
            </w:pPr>
            <w:r>
              <w:rPr>
                <w:sz w:val="18"/>
              </w:rPr>
              <w:t>Il Fondo promuove caratteristiche ambientali relative alla riduzione di gravi controversie ambientali escludendo emittenti con un rating di controversia ESG grave in relazione a questioni ambientali, che possono includere biodiversità e uso del suolo, consumo energetico ed emissioni di gas serra e di altro tipo, uso dell'acqua e questioni relative ai rifiuti. Un rating di controversia ESG misura il coinvolgimento (o il presunto coinvolgimento) di un emittente in incidenti con implicazioni negative in materi</w:t>
            </w:r>
            <w:r>
              <w:rPr>
                <w:sz w:val="18"/>
              </w:rPr>
              <w:t>a ambientale, sociale e di governance (ESG).</w:t>
            </w:r>
          </w:p>
          <w:p w14:paraId="08E3F754" w14:textId="77777777" w:rsidR="00C47BC8" w:rsidRDefault="00C47BC8">
            <w:pPr>
              <w:pStyle w:val="TableParagraph"/>
              <w:spacing w:before="1"/>
              <w:rPr>
                <w:b/>
                <w:sz w:val="20"/>
              </w:rPr>
            </w:pPr>
          </w:p>
          <w:p w14:paraId="2C9404D8" w14:textId="77777777" w:rsidR="00C47BC8" w:rsidRDefault="00606574">
            <w:pPr>
              <w:pStyle w:val="TableParagraph"/>
              <w:ind w:left="107"/>
              <w:jc w:val="both"/>
              <w:rPr>
                <w:sz w:val="20"/>
              </w:rPr>
            </w:pPr>
            <w:r>
              <w:rPr>
                <w:sz w:val="18"/>
              </w:rPr>
              <w:t>Inoltre, il Fondo promuove caratteristiche sociali relative a:</w:t>
            </w:r>
          </w:p>
          <w:p w14:paraId="458A9634" w14:textId="77777777" w:rsidR="00C47BC8" w:rsidRDefault="00C47BC8">
            <w:pPr>
              <w:pStyle w:val="TableParagraph"/>
              <w:spacing w:before="9"/>
              <w:rPr>
                <w:b/>
                <w:sz w:val="20"/>
              </w:rPr>
            </w:pPr>
          </w:p>
          <w:p w14:paraId="70B12A85" w14:textId="77777777" w:rsidR="00C47BC8" w:rsidRDefault="00606574">
            <w:pPr>
              <w:pStyle w:val="TableParagraph"/>
              <w:tabs>
                <w:tab w:val="left" w:pos="1049"/>
              </w:tabs>
              <w:ind w:left="1049" w:right="98" w:hanging="720"/>
              <w:rPr>
                <w:sz w:val="20"/>
              </w:rPr>
            </w:pPr>
            <w:r>
              <w:rPr>
                <w:spacing w:val="-4"/>
                <w:sz w:val="18"/>
              </w:rPr>
              <w:t>(i)</w:t>
            </w:r>
            <w:r>
              <w:rPr>
                <w:sz w:val="18"/>
              </w:rPr>
              <w:tab/>
              <w:t xml:space="preserve">Riduzione </w:t>
            </w:r>
            <w:r>
              <w:rPr>
                <w:sz w:val="18"/>
              </w:rPr>
              <w:t>della disponibilità di armi, escludendo gli investimenti diretti in società coinvolte in armi controverse, armi leggere e appalti militari;</w:t>
            </w:r>
          </w:p>
        </w:tc>
      </w:tr>
    </w:tbl>
    <w:p w14:paraId="74ACE579" w14:textId="77777777" w:rsidR="00C47BC8" w:rsidRDefault="00C47BC8">
      <w:pPr>
        <w:pStyle w:val="TableParagraph"/>
        <w:rPr>
          <w:sz w:val="20"/>
        </w:rPr>
        <w:sectPr w:rsidR="00C47BC8">
          <w:footerReference w:type="default" r:id="rId13"/>
          <w:type w:val="continuous"/>
          <w:pgSz w:w="11910" w:h="16840"/>
          <w:pgMar w:top="1340" w:right="425" w:bottom="800" w:left="0" w:header="0" w:footer="617" w:gutter="0"/>
          <w:pgNumType w:start="407"/>
          <w:cols w:space="708"/>
        </w:sectPr>
      </w:pPr>
    </w:p>
    <w:p w14:paraId="27EC5615" w14:textId="77777777" w:rsidR="00C47BC8" w:rsidRDefault="00C47BC8">
      <w:pPr>
        <w:pStyle w:val="Corpotesto"/>
        <w:rPr>
          <w:b/>
          <w:sz w:val="2"/>
        </w:rPr>
      </w:pPr>
    </w:p>
    <w:tbl>
      <w:tblPr>
        <w:tblStyle w:val="TableNormal"/>
        <w:tblW w:w="0" w:type="auto"/>
        <w:tblInd w:w="26" w:type="dxa"/>
        <w:tblBorders>
          <w:top w:val="single" w:sz="4" w:space="0" w:color="E8E8E8"/>
          <w:left w:val="single" w:sz="4" w:space="0" w:color="E8E8E8"/>
          <w:bottom w:val="single" w:sz="4" w:space="0" w:color="E8E8E8"/>
          <w:right w:val="single" w:sz="4" w:space="0" w:color="E8E8E8"/>
          <w:insideH w:val="single" w:sz="4" w:space="0" w:color="E8E8E8"/>
          <w:insideV w:val="single" w:sz="4" w:space="0" w:color="E8E8E8"/>
        </w:tblBorders>
        <w:tblLayout w:type="fixed"/>
        <w:tblLook w:val="01E0" w:firstRow="1" w:lastRow="1" w:firstColumn="1" w:lastColumn="1" w:noHBand="0" w:noVBand="0"/>
      </w:tblPr>
      <w:tblGrid>
        <w:gridCol w:w="2440"/>
        <w:gridCol w:w="408"/>
        <w:gridCol w:w="8498"/>
      </w:tblGrid>
      <w:tr w:rsidR="00C47BC8" w14:paraId="2E288E50" w14:textId="77777777">
        <w:trPr>
          <w:trHeight w:val="7298"/>
        </w:trPr>
        <w:tc>
          <w:tcPr>
            <w:tcW w:w="2440" w:type="dxa"/>
          </w:tcPr>
          <w:p w14:paraId="30AF38AC" w14:textId="77777777" w:rsidR="00C47BC8" w:rsidRDefault="00C47BC8">
            <w:pPr>
              <w:pStyle w:val="TableParagraph"/>
              <w:rPr>
                <w:rFonts w:ascii="Times New Roman"/>
                <w:sz w:val="18"/>
              </w:rPr>
            </w:pPr>
          </w:p>
        </w:tc>
        <w:tc>
          <w:tcPr>
            <w:tcW w:w="408" w:type="dxa"/>
          </w:tcPr>
          <w:p w14:paraId="4D1DFE8B" w14:textId="77777777" w:rsidR="00C47BC8" w:rsidRDefault="00C47BC8">
            <w:pPr>
              <w:pStyle w:val="TableParagraph"/>
              <w:rPr>
                <w:rFonts w:ascii="Times New Roman"/>
                <w:sz w:val="18"/>
              </w:rPr>
            </w:pPr>
          </w:p>
        </w:tc>
        <w:tc>
          <w:tcPr>
            <w:tcW w:w="8498" w:type="dxa"/>
          </w:tcPr>
          <w:p w14:paraId="12BAEF18" w14:textId="77777777" w:rsidR="00C47BC8" w:rsidRDefault="00606574">
            <w:pPr>
              <w:pStyle w:val="TableParagraph"/>
              <w:numPr>
                <w:ilvl w:val="0"/>
                <w:numId w:val="4"/>
              </w:numPr>
              <w:tabs>
                <w:tab w:val="left" w:pos="969"/>
              </w:tabs>
              <w:ind w:right="100"/>
              <w:jc w:val="both"/>
              <w:rPr>
                <w:sz w:val="20"/>
              </w:rPr>
            </w:pPr>
            <w:r>
              <w:rPr>
                <w:sz w:val="18"/>
              </w:rPr>
              <w:t>Miglioramento della salute e del benessere, escludendo gli investimenti diretti in società coinvolte nella produzione e distribuzione di tabacco; e</w:t>
            </w:r>
          </w:p>
          <w:p w14:paraId="287321F8" w14:textId="77777777" w:rsidR="00C47BC8" w:rsidRDefault="00C47BC8">
            <w:pPr>
              <w:pStyle w:val="TableParagraph"/>
              <w:spacing w:before="10"/>
              <w:rPr>
                <w:b/>
                <w:sz w:val="20"/>
              </w:rPr>
            </w:pPr>
          </w:p>
          <w:p w14:paraId="63EAEE0D" w14:textId="77777777" w:rsidR="00C47BC8" w:rsidRDefault="00606574">
            <w:pPr>
              <w:pStyle w:val="TableParagraph"/>
              <w:numPr>
                <w:ilvl w:val="0"/>
                <w:numId w:val="4"/>
              </w:numPr>
              <w:tabs>
                <w:tab w:val="left" w:pos="966"/>
                <w:tab w:val="left" w:pos="969"/>
              </w:tabs>
              <w:ind w:right="96"/>
              <w:jc w:val="both"/>
              <w:rPr>
                <w:sz w:val="20"/>
              </w:rPr>
            </w:pPr>
            <w:r>
              <w:rPr>
                <w:sz w:val="18"/>
              </w:rPr>
              <w:t>Sostegno ai diritti umani, agli standard lavorativi, all’ambiente e alla lotta alla corruzione, escludendo gli investimenti diretti in società ritenute non conformi ai 10 Principi del Global Compact delle Nazioni Unite; il tutto in linea con l’Indice di Riferimento del Fondo</w:t>
            </w:r>
          </w:p>
          <w:p w14:paraId="46BB4316" w14:textId="77777777" w:rsidR="00C47BC8" w:rsidRDefault="00C47BC8">
            <w:pPr>
              <w:pStyle w:val="TableParagraph"/>
              <w:spacing w:before="163"/>
              <w:rPr>
                <w:b/>
                <w:sz w:val="20"/>
              </w:rPr>
            </w:pPr>
          </w:p>
          <w:p w14:paraId="19097F15" w14:textId="77777777" w:rsidR="00C47BC8" w:rsidRDefault="00606574">
            <w:pPr>
              <w:pStyle w:val="TableParagraph"/>
              <w:spacing w:line="249" w:lineRule="auto"/>
              <w:ind w:left="107" w:right="95"/>
              <w:jc w:val="both"/>
              <w:rPr>
                <w:sz w:val="20"/>
              </w:rPr>
            </w:pPr>
            <w:r>
              <w:rPr>
                <w:sz w:val="18"/>
              </w:rPr>
              <w:t>Il Fondo promuove inoltre caratteristiche sociali relative alla riduzione di gravi controversie di natura sociale, escludendo emittenti con un rating di controversia ESG grave in relazione a questioni sociali, quali la corruzione e la discriminazione sul posto di lavoro.</w:t>
            </w:r>
          </w:p>
          <w:p w14:paraId="1C5D052C" w14:textId="77777777" w:rsidR="00C47BC8" w:rsidRDefault="00C47BC8">
            <w:pPr>
              <w:pStyle w:val="TableParagraph"/>
              <w:spacing w:before="12"/>
              <w:rPr>
                <w:b/>
                <w:sz w:val="20"/>
              </w:rPr>
            </w:pPr>
          </w:p>
          <w:p w14:paraId="379C39D5" w14:textId="77777777" w:rsidR="00C47BC8" w:rsidRDefault="00606574">
            <w:pPr>
              <w:pStyle w:val="TableParagraph"/>
              <w:spacing w:line="249" w:lineRule="auto"/>
              <w:ind w:left="107" w:right="95"/>
              <w:jc w:val="both"/>
              <w:rPr>
                <w:sz w:val="20"/>
              </w:rPr>
            </w:pPr>
            <w:r>
              <w:rPr>
                <w:sz w:val="18"/>
              </w:rPr>
              <w:t>La definizione di "coinvolto" in relazione a ciascuna attività può basarsi sulla generazione o sulla derivazione di un ricavo dall'attività che superi una percentuale del fatturato o una soglia di fatturato totale definita, oppure su qualsiasi esposizione all'attività indipendentemente dall'ammontare del ricavo percepito. L'attività può riguardare la produzione o la distribuzione o entrambe. Maggiori dettagli sulle esclusioni applicate per promuovere caratteristiche ambientali e/o sociali sono disponibili n</w:t>
            </w:r>
            <w:r>
              <w:rPr>
                <w:sz w:val="18"/>
              </w:rPr>
              <w:t>ella metodologia dell'Indice di Riferimento.</w:t>
            </w:r>
          </w:p>
          <w:p w14:paraId="7F6379D7" w14:textId="77777777" w:rsidR="00C47BC8" w:rsidRDefault="00C47BC8">
            <w:pPr>
              <w:pStyle w:val="TableParagraph"/>
              <w:spacing w:before="15"/>
              <w:rPr>
                <w:b/>
                <w:sz w:val="20"/>
              </w:rPr>
            </w:pPr>
          </w:p>
          <w:p w14:paraId="264628AA" w14:textId="77777777" w:rsidR="00C47BC8" w:rsidRDefault="00606574">
            <w:pPr>
              <w:pStyle w:val="TableParagraph"/>
              <w:spacing w:line="249" w:lineRule="auto"/>
              <w:ind w:left="107" w:right="97"/>
              <w:jc w:val="both"/>
              <w:rPr>
                <w:sz w:val="20"/>
              </w:rPr>
            </w:pPr>
            <w:r>
              <w:rPr>
                <w:sz w:val="18"/>
              </w:rPr>
              <w:t>Il Fondo investe almeno il 20% delle proprie partecipazioni in Investimenti Sostenibili, in linea con l’Indice di Riferimento del Fondo, che contribuiscono agli obiettivi descritti di seguito e che sono allineati alle caratteristiche ambientali e/o sociali promosse dal Fondo.</w:t>
            </w:r>
          </w:p>
          <w:p w14:paraId="6C92C976" w14:textId="77777777" w:rsidR="00C47BC8" w:rsidRDefault="00C47BC8">
            <w:pPr>
              <w:pStyle w:val="TableParagraph"/>
              <w:spacing w:before="13"/>
              <w:rPr>
                <w:b/>
                <w:sz w:val="20"/>
              </w:rPr>
            </w:pPr>
          </w:p>
          <w:p w14:paraId="5647AD8D" w14:textId="77777777" w:rsidR="00C47BC8" w:rsidRDefault="00606574">
            <w:pPr>
              <w:pStyle w:val="TableParagraph"/>
              <w:spacing w:line="249" w:lineRule="auto"/>
              <w:ind w:left="107" w:right="94"/>
              <w:jc w:val="both"/>
              <w:rPr>
                <w:sz w:val="20"/>
              </w:rPr>
            </w:pPr>
            <w:r>
              <w:rPr>
                <w:sz w:val="18"/>
              </w:rPr>
              <w:t>Il Fondo promuove le caratteristiche ambientali e sociali replicando il proprio Indice di Riferimento. L’Indice di Riferimento ha una metodologia coerente con le caratteristiche ambientali e sociali promosse dal Fondo.</w:t>
            </w:r>
          </w:p>
          <w:p w14:paraId="16D9D377" w14:textId="77777777" w:rsidR="00C47BC8" w:rsidRDefault="00C47BC8">
            <w:pPr>
              <w:pStyle w:val="TableParagraph"/>
              <w:spacing w:before="12"/>
              <w:rPr>
                <w:b/>
                <w:sz w:val="20"/>
              </w:rPr>
            </w:pPr>
          </w:p>
          <w:p w14:paraId="3D923C85" w14:textId="77777777" w:rsidR="00C47BC8" w:rsidRDefault="00606574">
            <w:pPr>
              <w:pStyle w:val="TableParagraph"/>
              <w:spacing w:line="249" w:lineRule="auto"/>
              <w:ind w:left="107" w:right="93"/>
              <w:jc w:val="both"/>
              <w:rPr>
                <w:sz w:val="20"/>
              </w:rPr>
            </w:pPr>
            <w:r>
              <w:rPr>
                <w:spacing w:val="-2"/>
                <w:sz w:val="18"/>
              </w:rPr>
              <w:t>Per ulteriori informazioni su dove reperire i dettagli della metodologia dell'Indice di Riferimento, si prega di consultare la sezione "Dove è possibile trovare la metodologia utilizzata per il calcolo dell'indice designato?" (di seguito).</w:t>
            </w:r>
          </w:p>
        </w:tc>
      </w:tr>
      <w:tr w:rsidR="00C47BC8" w14:paraId="770FBC92" w14:textId="77777777">
        <w:trPr>
          <w:trHeight w:val="690"/>
        </w:trPr>
        <w:tc>
          <w:tcPr>
            <w:tcW w:w="2440" w:type="dxa"/>
            <w:vMerge w:val="restart"/>
            <w:shd w:val="clear" w:color="auto" w:fill="D9D9D9"/>
          </w:tcPr>
          <w:p w14:paraId="64E85E4A" w14:textId="77777777" w:rsidR="00C47BC8" w:rsidRDefault="00606574">
            <w:pPr>
              <w:pStyle w:val="TableParagraph"/>
              <w:ind w:left="260" w:right="97"/>
              <w:jc w:val="both"/>
              <w:rPr>
                <w:sz w:val="18"/>
              </w:rPr>
            </w:pPr>
            <w:r>
              <w:rPr>
                <w:b/>
                <w:spacing w:val="-2"/>
                <w:sz w:val="16"/>
              </w:rPr>
              <w:t xml:space="preserve">Gli indicatori di sostenibilità </w:t>
            </w:r>
            <w:r>
              <w:rPr>
                <w:sz w:val="16"/>
              </w:rPr>
              <w:t>misurano il grado di raggiungimento delle caratteristiche ambientali o sociali promosse dal prodotto finanziario.</w:t>
            </w:r>
          </w:p>
        </w:tc>
        <w:tc>
          <w:tcPr>
            <w:tcW w:w="408" w:type="dxa"/>
          </w:tcPr>
          <w:p w14:paraId="417624CF" w14:textId="77777777" w:rsidR="00C47BC8" w:rsidRDefault="00C47BC8">
            <w:pPr>
              <w:pStyle w:val="TableParagraph"/>
              <w:rPr>
                <w:rFonts w:ascii="Times New Roman"/>
                <w:sz w:val="18"/>
              </w:rPr>
            </w:pPr>
          </w:p>
        </w:tc>
        <w:tc>
          <w:tcPr>
            <w:tcW w:w="8498" w:type="dxa"/>
          </w:tcPr>
          <w:p w14:paraId="6C6EF090" w14:textId="77777777" w:rsidR="00C47BC8" w:rsidRDefault="00606574">
            <w:pPr>
              <w:pStyle w:val="TableParagraph"/>
              <w:ind w:left="447" w:hanging="342"/>
              <w:rPr>
                <w:b/>
                <w:i/>
                <w:sz w:val="20"/>
              </w:rPr>
            </w:pPr>
            <w:r>
              <w:rPr>
                <w:noProof/>
                <w:position w:val="-2"/>
              </w:rPr>
              <w:drawing>
                <wp:inline distT="0" distB="0" distL="0" distR="0" wp14:anchorId="1BF61F46" wp14:editId="4C1A7CD2">
                  <wp:extent cx="130175" cy="130175"/>
                  <wp:effectExtent l="0" t="0" r="0" b="0"/>
                  <wp:docPr id="10" name="Image 10"/>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4" cstate="print"/>
                          <a:stretch>
                            <a:fillRect/>
                          </a:stretch>
                        </pic:blipFill>
                        <pic:spPr>
                          <a:xfrm>
                            <a:off x="0" y="0"/>
                            <a:ext cx="130175" cy="130175"/>
                          </a:xfrm>
                          <a:prstGeom prst="rect">
                            <a:avLst/>
                          </a:prstGeom>
                        </pic:spPr>
                      </pic:pic>
                    </a:graphicData>
                  </a:graphic>
                </wp:inline>
              </w:drawing>
            </w:r>
            <w:r>
              <w:rPr>
                <w:rFonts w:ascii="Times New Roman"/>
                <w:sz w:val="18"/>
              </w:rPr>
              <w:t xml:space="preserve"> </w:t>
            </w:r>
            <w:r>
              <w:rPr>
                <w:b/>
                <w:i/>
                <w:sz w:val="18"/>
              </w:rPr>
              <w:t>Quali indicatori di sostenibilità vengono utilizzati per misurare il raggiungimento di ciascuna delle caratteristiche ambientali o sociali promosse da questo prodotto finanziario?</w:t>
            </w:r>
          </w:p>
        </w:tc>
      </w:tr>
      <w:tr w:rsidR="00C47BC8" w14:paraId="34FA089A" w14:textId="77777777">
        <w:trPr>
          <w:trHeight w:val="6008"/>
        </w:trPr>
        <w:tc>
          <w:tcPr>
            <w:tcW w:w="2440" w:type="dxa"/>
            <w:vMerge/>
            <w:tcBorders>
              <w:top w:val="nil"/>
            </w:tcBorders>
            <w:shd w:val="clear" w:color="auto" w:fill="D9D9D9"/>
          </w:tcPr>
          <w:p w14:paraId="31C21B69" w14:textId="77777777" w:rsidR="00C47BC8" w:rsidRDefault="00C47BC8">
            <w:pPr>
              <w:rPr>
                <w:sz w:val="2"/>
                <w:szCs w:val="2"/>
              </w:rPr>
            </w:pPr>
          </w:p>
        </w:tc>
        <w:tc>
          <w:tcPr>
            <w:tcW w:w="408" w:type="dxa"/>
          </w:tcPr>
          <w:p w14:paraId="7EA2540C" w14:textId="77777777" w:rsidR="00C47BC8" w:rsidRDefault="00C47BC8">
            <w:pPr>
              <w:pStyle w:val="TableParagraph"/>
              <w:rPr>
                <w:rFonts w:ascii="Times New Roman"/>
                <w:sz w:val="18"/>
              </w:rPr>
            </w:pPr>
          </w:p>
        </w:tc>
        <w:tc>
          <w:tcPr>
            <w:tcW w:w="8498" w:type="dxa"/>
          </w:tcPr>
          <w:p w14:paraId="347F4673" w14:textId="77777777" w:rsidR="00C47BC8" w:rsidRDefault="00606574">
            <w:pPr>
              <w:pStyle w:val="TableParagraph"/>
              <w:spacing w:before="172" w:line="249" w:lineRule="auto"/>
              <w:ind w:left="107"/>
              <w:rPr>
                <w:sz w:val="20"/>
              </w:rPr>
            </w:pPr>
            <w:r>
              <w:rPr>
                <w:sz w:val="18"/>
              </w:rPr>
              <w:t>I seguenti indicatori di sostenibilità fanno parte dei criteri di selezione ESG dell'Indice di riferimento seguito dal Fondo:</w:t>
            </w:r>
          </w:p>
          <w:p w14:paraId="11BE6772" w14:textId="77777777" w:rsidR="00C47BC8" w:rsidRDefault="00606574">
            <w:pPr>
              <w:pStyle w:val="TableParagraph"/>
              <w:numPr>
                <w:ilvl w:val="0"/>
                <w:numId w:val="3"/>
              </w:numPr>
              <w:tabs>
                <w:tab w:val="left" w:pos="869"/>
              </w:tabs>
              <w:spacing w:before="170" w:line="249" w:lineRule="auto"/>
              <w:ind w:right="171"/>
              <w:jc w:val="both"/>
              <w:rPr>
                <w:sz w:val="20"/>
              </w:rPr>
            </w:pPr>
            <w:r>
              <w:rPr>
                <w:sz w:val="18"/>
              </w:rPr>
              <w:t>L'esclusione di società coinvolte in determinate attività ritenute avere un impatto ambientale e/o sociale negativo, come descritto sopra (vedere Quali caratteristiche ambientali e/o sociali sono promosse da questo prodotto finanziario?).</w:t>
            </w:r>
          </w:p>
          <w:p w14:paraId="509346B2" w14:textId="77777777" w:rsidR="00C47BC8" w:rsidRDefault="00606574">
            <w:pPr>
              <w:pStyle w:val="TableParagraph"/>
              <w:numPr>
                <w:ilvl w:val="0"/>
                <w:numId w:val="3"/>
              </w:numPr>
              <w:tabs>
                <w:tab w:val="left" w:pos="869"/>
              </w:tabs>
              <w:spacing w:before="170" w:line="249" w:lineRule="auto"/>
              <w:ind w:right="171"/>
              <w:jc w:val="both"/>
              <w:rPr>
                <w:sz w:val="20"/>
              </w:rPr>
            </w:pPr>
            <w:r>
              <w:rPr>
                <w:sz w:val="18"/>
              </w:rPr>
              <w:t>L'esclusione di società ritenute responsabili di violazioni delle norme e degli standard internazionali comunemente accettati, come descritto sopra (vedere Quali caratteristiche ambientali e/o sociali sono promosse da questo prodotto finanziario?).</w:t>
            </w:r>
          </w:p>
          <w:p w14:paraId="3D0C030A" w14:textId="77777777" w:rsidR="00C47BC8" w:rsidRDefault="00606574">
            <w:pPr>
              <w:pStyle w:val="TableParagraph"/>
              <w:numPr>
                <w:ilvl w:val="0"/>
                <w:numId w:val="3"/>
              </w:numPr>
              <w:tabs>
                <w:tab w:val="left" w:pos="869"/>
              </w:tabs>
              <w:spacing w:before="228"/>
              <w:ind w:right="97"/>
              <w:jc w:val="both"/>
              <w:rPr>
                <w:sz w:val="20"/>
              </w:rPr>
            </w:pPr>
            <w:r>
              <w:rPr>
                <w:sz w:val="18"/>
              </w:rPr>
              <w:t>L'esclusione di società con un rating di controversia ESG grave, come descritto sopra (vedere Quali caratteristiche ambientali e/o sociali sono promosse da questo prodotto finanziario?).</w:t>
            </w:r>
          </w:p>
          <w:p w14:paraId="10DD7173" w14:textId="77777777" w:rsidR="00C47BC8" w:rsidRDefault="00606574">
            <w:pPr>
              <w:pStyle w:val="TableParagraph"/>
              <w:numPr>
                <w:ilvl w:val="0"/>
                <w:numId w:val="3"/>
              </w:numPr>
              <w:tabs>
                <w:tab w:val="left" w:pos="869"/>
              </w:tabs>
              <w:spacing w:before="173" w:line="249" w:lineRule="auto"/>
              <w:ind w:right="170"/>
              <w:jc w:val="both"/>
              <w:rPr>
                <w:sz w:val="20"/>
              </w:rPr>
            </w:pPr>
            <w:r>
              <w:rPr>
                <w:sz w:val="18"/>
              </w:rPr>
              <w:t>Gli investimenti del Fondo che si qualificano come investimenti sostenibili come descritto di seguito (vedere Quali sono gli obiettivi degli investimenti sostenibili che il prodotto finanziario intende effettuare in parte e in che modo l’investimento sostenibile contribuisce a tali obiettivi?)</w:t>
            </w:r>
          </w:p>
          <w:p w14:paraId="1A5601F3" w14:textId="77777777" w:rsidR="00C47BC8" w:rsidRDefault="00606574">
            <w:pPr>
              <w:pStyle w:val="TableParagraph"/>
              <w:numPr>
                <w:ilvl w:val="0"/>
                <w:numId w:val="3"/>
              </w:numPr>
              <w:tabs>
                <w:tab w:val="left" w:pos="869"/>
              </w:tabs>
              <w:spacing w:before="172" w:line="249" w:lineRule="auto"/>
              <w:ind w:right="171"/>
              <w:jc w:val="both"/>
              <w:rPr>
                <w:sz w:val="20"/>
              </w:rPr>
            </w:pPr>
            <w:r>
              <w:rPr>
                <w:sz w:val="18"/>
              </w:rPr>
              <w:t>La considerazione dei principali impatti negativi sui fattori di sostenibilità identificati nella tabella sottostante (vedere Questo prodotto finanziario considera i principali impatti negativi sui fattori di sostenibilità?).</w:t>
            </w:r>
          </w:p>
          <w:p w14:paraId="70959174" w14:textId="77777777" w:rsidR="00C47BC8" w:rsidRDefault="00606574">
            <w:pPr>
              <w:pStyle w:val="TableParagraph"/>
              <w:spacing w:before="145" w:line="240" w:lineRule="atLeast"/>
              <w:ind w:left="107"/>
              <w:rPr>
                <w:sz w:val="20"/>
              </w:rPr>
            </w:pPr>
            <w:r>
              <w:rPr>
                <w:sz w:val="18"/>
              </w:rPr>
              <w:t>I criteri di selezione ESG dell’Indice di Riferimento sono applicati dal fornitore dell’indice su base trimestrale, fatta eccezione per l’esclusione degli emittenti coinvolti nelle seguenti attività che</w:t>
            </w:r>
          </w:p>
        </w:tc>
      </w:tr>
    </w:tbl>
    <w:p w14:paraId="7728C05A" w14:textId="77777777" w:rsidR="00C47BC8" w:rsidRDefault="00C47BC8">
      <w:pPr>
        <w:pStyle w:val="TableParagraph"/>
        <w:spacing w:line="240" w:lineRule="atLeast"/>
        <w:rPr>
          <w:sz w:val="20"/>
        </w:rPr>
        <w:sectPr w:rsidR="00C47BC8">
          <w:pgSz w:w="11910" w:h="16840"/>
          <w:pgMar w:top="1380" w:right="425" w:bottom="800" w:left="0" w:header="0" w:footer="617" w:gutter="0"/>
          <w:cols w:space="708"/>
        </w:sectPr>
      </w:pPr>
    </w:p>
    <w:p w14:paraId="716836AD" w14:textId="77777777" w:rsidR="00C47BC8" w:rsidRDefault="00C47BC8">
      <w:pPr>
        <w:pStyle w:val="Corpotesto"/>
        <w:rPr>
          <w:b/>
          <w:sz w:val="2"/>
        </w:rPr>
      </w:pPr>
    </w:p>
    <w:tbl>
      <w:tblPr>
        <w:tblStyle w:val="TableNormal"/>
        <w:tblW w:w="0" w:type="auto"/>
        <w:tblInd w:w="26" w:type="dxa"/>
        <w:tblBorders>
          <w:top w:val="single" w:sz="4" w:space="0" w:color="E8E8E8"/>
          <w:left w:val="single" w:sz="4" w:space="0" w:color="E8E8E8"/>
          <w:bottom w:val="single" w:sz="4" w:space="0" w:color="E8E8E8"/>
          <w:right w:val="single" w:sz="4" w:space="0" w:color="E8E8E8"/>
          <w:insideH w:val="single" w:sz="4" w:space="0" w:color="E8E8E8"/>
          <w:insideV w:val="single" w:sz="4" w:space="0" w:color="E8E8E8"/>
        </w:tblBorders>
        <w:tblLayout w:type="fixed"/>
        <w:tblLook w:val="01E0" w:firstRow="1" w:lastRow="1" w:firstColumn="1" w:lastColumn="1" w:noHBand="0" w:noVBand="0"/>
      </w:tblPr>
      <w:tblGrid>
        <w:gridCol w:w="2440"/>
        <w:gridCol w:w="408"/>
        <w:gridCol w:w="8498"/>
      </w:tblGrid>
      <w:tr w:rsidR="00C47BC8" w14:paraId="0ECF26BE" w14:textId="77777777">
        <w:trPr>
          <w:trHeight w:val="1127"/>
        </w:trPr>
        <w:tc>
          <w:tcPr>
            <w:tcW w:w="2440" w:type="dxa"/>
            <w:shd w:val="clear" w:color="auto" w:fill="D9D9D9"/>
          </w:tcPr>
          <w:p w14:paraId="46067FF6" w14:textId="77777777" w:rsidR="00C47BC8" w:rsidRDefault="00C47BC8">
            <w:pPr>
              <w:pStyle w:val="TableParagraph"/>
              <w:rPr>
                <w:rFonts w:ascii="Times New Roman"/>
                <w:sz w:val="18"/>
              </w:rPr>
            </w:pPr>
          </w:p>
        </w:tc>
        <w:tc>
          <w:tcPr>
            <w:tcW w:w="408" w:type="dxa"/>
          </w:tcPr>
          <w:p w14:paraId="0267D69D" w14:textId="77777777" w:rsidR="00C47BC8" w:rsidRDefault="00C47BC8">
            <w:pPr>
              <w:pStyle w:val="TableParagraph"/>
              <w:rPr>
                <w:rFonts w:ascii="Times New Roman"/>
                <w:sz w:val="18"/>
              </w:rPr>
            </w:pPr>
          </w:p>
        </w:tc>
        <w:tc>
          <w:tcPr>
            <w:tcW w:w="8498" w:type="dxa"/>
          </w:tcPr>
          <w:p w14:paraId="64A0FB22" w14:textId="77777777" w:rsidR="00C47BC8" w:rsidRDefault="00606574">
            <w:pPr>
              <w:pStyle w:val="TableParagraph"/>
              <w:spacing w:before="4" w:line="249" w:lineRule="auto"/>
              <w:ind w:left="107" w:right="170"/>
              <w:jc w:val="both"/>
              <w:rPr>
                <w:sz w:val="20"/>
              </w:rPr>
            </w:pPr>
            <w:r>
              <w:rPr>
                <w:sz w:val="18"/>
              </w:rPr>
              <w:t>applicati dal fornitore dell'indice su base annuale: armi controverse, armi leggere, appalti militari, produzione e distribuzione di tabacco, petrolio e gas non convenzionali, petrolio e gas convenzionali, carbone termico ed energia nucleare.</w:t>
            </w:r>
          </w:p>
        </w:tc>
      </w:tr>
      <w:tr w:rsidR="00C47BC8" w14:paraId="436B8E55" w14:textId="77777777">
        <w:trPr>
          <w:trHeight w:val="947"/>
        </w:trPr>
        <w:tc>
          <w:tcPr>
            <w:tcW w:w="2440" w:type="dxa"/>
          </w:tcPr>
          <w:p w14:paraId="3C0DF3E8" w14:textId="77777777" w:rsidR="00C47BC8" w:rsidRDefault="00C47BC8">
            <w:pPr>
              <w:pStyle w:val="TableParagraph"/>
              <w:rPr>
                <w:rFonts w:ascii="Times New Roman"/>
                <w:sz w:val="18"/>
              </w:rPr>
            </w:pPr>
          </w:p>
        </w:tc>
        <w:tc>
          <w:tcPr>
            <w:tcW w:w="408" w:type="dxa"/>
          </w:tcPr>
          <w:p w14:paraId="7E52DD8D" w14:textId="77777777" w:rsidR="00C47BC8" w:rsidRDefault="00C47BC8">
            <w:pPr>
              <w:pStyle w:val="TableParagraph"/>
              <w:rPr>
                <w:rFonts w:ascii="Times New Roman"/>
                <w:sz w:val="18"/>
              </w:rPr>
            </w:pPr>
          </w:p>
        </w:tc>
        <w:tc>
          <w:tcPr>
            <w:tcW w:w="8498" w:type="dxa"/>
          </w:tcPr>
          <w:p w14:paraId="4C0A54FF" w14:textId="77777777" w:rsidR="00C47BC8" w:rsidRDefault="00606574">
            <w:pPr>
              <w:pStyle w:val="TableParagraph"/>
              <w:ind w:left="447" w:hanging="342"/>
              <w:rPr>
                <w:b/>
                <w:i/>
                <w:sz w:val="20"/>
              </w:rPr>
            </w:pPr>
            <w:r>
              <w:rPr>
                <w:noProof/>
                <w:position w:val="-2"/>
              </w:rPr>
              <w:drawing>
                <wp:inline distT="0" distB="0" distL="0" distR="0" wp14:anchorId="2F336D91" wp14:editId="62FF0F04">
                  <wp:extent cx="130175" cy="130175"/>
                  <wp:effectExtent l="0" t="0" r="0" b="0"/>
                  <wp:docPr id="11" name="Image 11"/>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5" cstate="print"/>
                          <a:stretch>
                            <a:fillRect/>
                          </a:stretch>
                        </pic:blipFill>
                        <pic:spPr>
                          <a:xfrm>
                            <a:off x="0" y="0"/>
                            <a:ext cx="130175" cy="130175"/>
                          </a:xfrm>
                          <a:prstGeom prst="rect">
                            <a:avLst/>
                          </a:prstGeom>
                        </pic:spPr>
                      </pic:pic>
                    </a:graphicData>
                  </a:graphic>
                </wp:inline>
              </w:drawing>
            </w:r>
            <w:r>
              <w:rPr>
                <w:rFonts w:ascii="Times New Roman"/>
                <w:sz w:val="18"/>
              </w:rPr>
              <w:t xml:space="preserve"> </w:t>
            </w:r>
            <w:r>
              <w:rPr>
                <w:b/>
                <w:i/>
                <w:sz w:val="18"/>
              </w:rPr>
              <w:t>Quali sono gli obiettivi degli investimenti sostenibili che il prodotto finanziario intende effettuare in parte e in che modo l’investimento sostenibile contribuisce a tali obiettivi?</w:t>
            </w:r>
          </w:p>
        </w:tc>
      </w:tr>
      <w:tr w:rsidR="00C47BC8" w14:paraId="526B2F27" w14:textId="77777777">
        <w:trPr>
          <w:trHeight w:val="8073"/>
        </w:trPr>
        <w:tc>
          <w:tcPr>
            <w:tcW w:w="2440" w:type="dxa"/>
          </w:tcPr>
          <w:p w14:paraId="1040289A" w14:textId="77777777" w:rsidR="00C47BC8" w:rsidRDefault="00C47BC8">
            <w:pPr>
              <w:pStyle w:val="TableParagraph"/>
              <w:rPr>
                <w:rFonts w:ascii="Times New Roman"/>
                <w:sz w:val="18"/>
              </w:rPr>
            </w:pPr>
          </w:p>
        </w:tc>
        <w:tc>
          <w:tcPr>
            <w:tcW w:w="408" w:type="dxa"/>
          </w:tcPr>
          <w:p w14:paraId="086247A2" w14:textId="77777777" w:rsidR="00C47BC8" w:rsidRDefault="00C47BC8">
            <w:pPr>
              <w:pStyle w:val="TableParagraph"/>
              <w:rPr>
                <w:rFonts w:ascii="Times New Roman"/>
                <w:sz w:val="18"/>
              </w:rPr>
            </w:pPr>
          </w:p>
        </w:tc>
        <w:tc>
          <w:tcPr>
            <w:tcW w:w="8498" w:type="dxa"/>
          </w:tcPr>
          <w:p w14:paraId="3D62C15B" w14:textId="77777777" w:rsidR="00C47BC8" w:rsidRDefault="00606574">
            <w:pPr>
              <w:pStyle w:val="TableParagraph"/>
              <w:spacing w:before="164" w:line="249" w:lineRule="auto"/>
              <w:ind w:left="107" w:right="168"/>
              <w:jc w:val="both"/>
              <w:rPr>
                <w:sz w:val="20"/>
              </w:rPr>
            </w:pPr>
            <w:r>
              <w:rPr>
                <w:sz w:val="18"/>
              </w:rPr>
              <w:t>Investendo in un portafoglio di titoli azionari che, per quanto possibile e praticabile, sia costituito dai titoli che compongono l’Indice di Riferimento del Fondo, una parte degli investimenti del Fondo sarà destinata ad attività ritenute in grado di contribuire a impatti ambientali e/o sociali positivi o a società che si sono impegnate a raggiungere obiettivi di riduzione delle emissioni di carbonio basati su dati scientifici (come descritto di seguito).</w:t>
            </w:r>
          </w:p>
          <w:p w14:paraId="10A0A00C" w14:textId="77777777" w:rsidR="00C47BC8" w:rsidRDefault="00606574">
            <w:pPr>
              <w:pStyle w:val="TableParagraph"/>
              <w:spacing w:before="162" w:line="252" w:lineRule="auto"/>
              <w:ind w:left="107" w:right="169"/>
              <w:jc w:val="both"/>
              <w:rPr>
                <w:sz w:val="20"/>
              </w:rPr>
            </w:pPr>
            <w:r>
              <w:rPr>
                <w:sz w:val="18"/>
              </w:rPr>
              <w:t>Il fornitore dell'indice cerca di allocare una parte dell'Indice di Riferimento a società che: (1) traggono un ricavo netto positivo minimo da prodotti o servizi che mirano a contribuire alla risoluzione di questioni ambientali o sociali, oppure (2) hanno uno o più obiettivi attivi di riduzione delle emissioni di carbonio approvati dalla Science Based Targets initiative (SBTi).</w:t>
            </w:r>
          </w:p>
          <w:p w14:paraId="7D28939E" w14:textId="77777777" w:rsidR="00C47BC8" w:rsidRDefault="00606574">
            <w:pPr>
              <w:pStyle w:val="TableParagraph"/>
              <w:spacing w:before="154" w:line="249" w:lineRule="auto"/>
              <w:ind w:left="107" w:right="168"/>
              <w:jc w:val="both"/>
              <w:rPr>
                <w:sz w:val="20"/>
              </w:rPr>
            </w:pPr>
            <w:r>
              <w:rPr>
                <w:sz w:val="18"/>
              </w:rPr>
              <w:t>L'Indice di Riferimento mira a identificare le società con un ricavo netto positivo minimo derivante da prodotti o servizi che mirano a contribuire alla risoluzione di questioni ambientali o sociali identificate dagli Obiettivi di Sviluppo Sostenibile delle Nazioni Unite o da altri quadri di riferimento relativi alla sostenibilità. L'Indice di Riferimento prende in considerazione le società che traggono ricavi da attività volte ad affrontare questioni ambientali quali l'inquinamento atmosferico e il cambiam</w:t>
            </w:r>
            <w:r>
              <w:rPr>
                <w:sz w:val="18"/>
              </w:rPr>
              <w:t>ento climatico. L'Indice di Riferimento prende inoltre in considerazione le società che traggono ricavi da attività volte ad affrontare questioni sociali quali la malnutrizione o la mancanza di infrastrutture igienico-sanitarie.</w:t>
            </w:r>
          </w:p>
          <w:p w14:paraId="18B41B7F" w14:textId="77777777" w:rsidR="00C47BC8" w:rsidRDefault="00606574">
            <w:pPr>
              <w:pStyle w:val="TableParagraph"/>
              <w:spacing w:before="164" w:line="252" w:lineRule="auto"/>
              <w:ind w:left="107" w:right="170"/>
              <w:jc w:val="both"/>
              <w:rPr>
                <w:sz w:val="20"/>
              </w:rPr>
            </w:pPr>
            <w:r>
              <w:rPr>
                <w:sz w:val="18"/>
              </w:rPr>
              <w:t>I temi ambientali e sociali, insieme alle soglie minime di ricavi netti positivi, sono determinati dal fornitore dell'indice e vengono applicati ad ogni ribilanciamento dell'Indice di riferimento.</w:t>
            </w:r>
          </w:p>
          <w:p w14:paraId="508F9DCB" w14:textId="77777777" w:rsidR="00C47BC8" w:rsidRDefault="00606574">
            <w:pPr>
              <w:pStyle w:val="TableParagraph"/>
              <w:spacing w:before="155" w:line="249" w:lineRule="auto"/>
              <w:ind w:left="107" w:right="169"/>
              <w:jc w:val="both"/>
              <w:rPr>
                <w:sz w:val="20"/>
              </w:rPr>
            </w:pPr>
            <w:r>
              <w:rPr>
                <w:sz w:val="18"/>
              </w:rPr>
              <w:t>L’Indice di Riferimento cerca inoltre di identificare componenti che abbiano assunto uno o più impegni attivi di riduzione delle emissioni di carbonio approvati dalla SBTi. La SBTi mira a fornire un percorso chiaramente definito per le società e le istituzioni finanziarie al fine di ridurre le emissioni di gas serra (GHG) in linea con gli obiettivi dell’Accordo di Parigi e contribuire a prevenire gli impatti più gravi dei cambiamenti climatici.</w:t>
            </w:r>
          </w:p>
          <w:p w14:paraId="30A5599A" w14:textId="77777777" w:rsidR="00C47BC8" w:rsidRDefault="00606574">
            <w:pPr>
              <w:pStyle w:val="TableParagraph"/>
              <w:spacing w:before="162" w:line="252" w:lineRule="auto"/>
              <w:ind w:left="107" w:right="169"/>
              <w:jc w:val="both"/>
              <w:rPr>
                <w:sz w:val="20"/>
              </w:rPr>
            </w:pPr>
            <w:r>
              <w:rPr>
                <w:sz w:val="18"/>
              </w:rPr>
              <w:t>Gli investimenti sostenibili all'interno del Fondo possono contribuire a un obiettivo ambientale o a un obiettivo sociale o a una combinazione dei due. La combinazione di investimenti sostenibili con un obiettivo ambientale o sociale può cambiare nel tempo a seconda delle attività delle società all'interno dell'universo di partenza dell'Indice di riferimento.</w:t>
            </w:r>
          </w:p>
        </w:tc>
      </w:tr>
      <w:tr w:rsidR="00C47BC8" w14:paraId="5ECB28FD" w14:textId="77777777">
        <w:trPr>
          <w:trHeight w:val="919"/>
        </w:trPr>
        <w:tc>
          <w:tcPr>
            <w:tcW w:w="2440" w:type="dxa"/>
            <w:vMerge w:val="restart"/>
            <w:shd w:val="clear" w:color="auto" w:fill="D9D9D9"/>
          </w:tcPr>
          <w:p w14:paraId="74FCCC92" w14:textId="77777777" w:rsidR="00C47BC8" w:rsidRDefault="00606574">
            <w:pPr>
              <w:pStyle w:val="TableParagraph"/>
              <w:tabs>
                <w:tab w:val="left" w:pos="1650"/>
                <w:tab w:val="left" w:pos="1680"/>
              </w:tabs>
              <w:ind w:left="260" w:right="96"/>
              <w:jc w:val="both"/>
              <w:rPr>
                <w:sz w:val="18"/>
              </w:rPr>
            </w:pPr>
            <w:r>
              <w:rPr>
                <w:b/>
                <w:spacing w:val="-2"/>
                <w:sz w:val="16"/>
              </w:rPr>
              <w:t>Principali</w:t>
            </w:r>
            <w:r>
              <w:rPr>
                <w:b/>
                <w:sz w:val="16"/>
              </w:rPr>
              <w:tab/>
            </w:r>
            <w:r>
              <w:rPr>
                <w:b/>
                <w:spacing w:val="-2"/>
                <w:sz w:val="16"/>
              </w:rPr>
              <w:t xml:space="preserve">impatti negativi </w:t>
            </w:r>
            <w:r>
              <w:rPr>
                <w:sz w:val="16"/>
              </w:rPr>
              <w:t>sono gli impatti più significativi</w:t>
            </w:r>
            <w:r>
              <w:rPr>
                <w:sz w:val="16"/>
              </w:rPr>
              <w:tab/>
            </w:r>
            <w:r>
              <w:rPr>
                <w:sz w:val="16"/>
              </w:rPr>
              <w:t>delle decisioni di investimento sui fattori di sostenibilità relativi a questioni ambientali, sociali e dei dipendenti</w:t>
            </w:r>
            <w:r>
              <w:rPr>
                <w:sz w:val="16"/>
              </w:rPr>
              <w:tab/>
            </w:r>
            <w:r>
              <w:rPr>
                <w:sz w:val="16"/>
              </w:rPr>
              <w:tab/>
              <w:t>, al rispetto dei diritti umani, alle questioni relative alla lotta alla corruzione e alle tangenti.</w:t>
            </w:r>
          </w:p>
        </w:tc>
        <w:tc>
          <w:tcPr>
            <w:tcW w:w="408" w:type="dxa"/>
          </w:tcPr>
          <w:p w14:paraId="21410257" w14:textId="77777777" w:rsidR="00C47BC8" w:rsidRDefault="00C47BC8">
            <w:pPr>
              <w:pStyle w:val="TableParagraph"/>
              <w:rPr>
                <w:rFonts w:ascii="Times New Roman"/>
                <w:sz w:val="18"/>
              </w:rPr>
            </w:pPr>
          </w:p>
        </w:tc>
        <w:tc>
          <w:tcPr>
            <w:tcW w:w="8498" w:type="dxa"/>
          </w:tcPr>
          <w:p w14:paraId="56037C7A" w14:textId="77777777" w:rsidR="00C47BC8" w:rsidRDefault="00606574">
            <w:pPr>
              <w:pStyle w:val="TableParagraph"/>
              <w:ind w:left="447" w:hanging="342"/>
              <w:rPr>
                <w:b/>
                <w:i/>
                <w:sz w:val="20"/>
              </w:rPr>
            </w:pPr>
            <w:r>
              <w:rPr>
                <w:noProof/>
                <w:position w:val="-3"/>
              </w:rPr>
              <w:drawing>
                <wp:inline distT="0" distB="0" distL="0" distR="0" wp14:anchorId="6DF00742" wp14:editId="2C536404">
                  <wp:extent cx="130175" cy="130174"/>
                  <wp:effectExtent l="0" t="0" r="0" b="0"/>
                  <wp:docPr id="12" name="Image 12"/>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4" cstate="print"/>
                          <a:stretch>
                            <a:fillRect/>
                          </a:stretch>
                        </pic:blipFill>
                        <pic:spPr>
                          <a:xfrm>
                            <a:off x="0" y="0"/>
                            <a:ext cx="130175" cy="130174"/>
                          </a:xfrm>
                          <a:prstGeom prst="rect">
                            <a:avLst/>
                          </a:prstGeom>
                        </pic:spPr>
                      </pic:pic>
                    </a:graphicData>
                  </a:graphic>
                </wp:inline>
              </w:drawing>
            </w:r>
            <w:r>
              <w:rPr>
                <w:rFonts w:ascii="Times New Roman"/>
                <w:sz w:val="18"/>
              </w:rPr>
              <w:t xml:space="preserve"> </w:t>
            </w:r>
            <w:r>
              <w:rPr>
                <w:b/>
                <w:i/>
                <w:sz w:val="18"/>
              </w:rPr>
              <w:t>In che modo gli investimenti sostenibili che il prodotto finanziario intende effettuare in parte non causano un danno significativo a nessun obiettivo di investimento sostenibile ambientale o sociale?</w:t>
            </w:r>
          </w:p>
        </w:tc>
      </w:tr>
      <w:tr w:rsidR="00C47BC8" w14:paraId="3FD93E39" w14:textId="77777777">
        <w:trPr>
          <w:trHeight w:val="2617"/>
        </w:trPr>
        <w:tc>
          <w:tcPr>
            <w:tcW w:w="2440" w:type="dxa"/>
            <w:vMerge/>
            <w:tcBorders>
              <w:top w:val="nil"/>
            </w:tcBorders>
            <w:shd w:val="clear" w:color="auto" w:fill="D9D9D9"/>
          </w:tcPr>
          <w:p w14:paraId="32F0557E" w14:textId="77777777" w:rsidR="00C47BC8" w:rsidRDefault="00C47BC8">
            <w:pPr>
              <w:rPr>
                <w:sz w:val="2"/>
                <w:szCs w:val="2"/>
              </w:rPr>
            </w:pPr>
          </w:p>
        </w:tc>
        <w:tc>
          <w:tcPr>
            <w:tcW w:w="408" w:type="dxa"/>
          </w:tcPr>
          <w:p w14:paraId="490C859C" w14:textId="77777777" w:rsidR="00C47BC8" w:rsidRDefault="00C47BC8">
            <w:pPr>
              <w:pStyle w:val="TableParagraph"/>
              <w:rPr>
                <w:rFonts w:ascii="Times New Roman"/>
                <w:sz w:val="18"/>
              </w:rPr>
            </w:pPr>
          </w:p>
        </w:tc>
        <w:tc>
          <w:tcPr>
            <w:tcW w:w="8498" w:type="dxa"/>
          </w:tcPr>
          <w:p w14:paraId="006E8C6A" w14:textId="77777777" w:rsidR="00C47BC8" w:rsidRDefault="00606574">
            <w:pPr>
              <w:pStyle w:val="TableParagraph"/>
              <w:spacing w:before="3" w:line="247" w:lineRule="auto"/>
              <w:ind w:left="107" w:right="170"/>
              <w:jc w:val="both"/>
              <w:rPr>
                <w:sz w:val="20"/>
              </w:rPr>
            </w:pPr>
            <w:r>
              <w:rPr>
                <w:sz w:val="18"/>
              </w:rPr>
              <w:t>Ad ogni ribilanciamento dell’indice, tutti gli investimenti qualificabili come investimenti sostenibili vengono sottoposti a screening da parte del fornitore dell’indice rispetto a determinati indicatori ambientali e sociali minimi. Nell’ambito dei criteri di screening applicati dal fornitore dell’indice, le società vengono valutate in base al loro coinvolgimento in attività ritenute avere impatti ambientali e sociali altamente negativi. Qualora una società sia stata identificata dal fornitore dell’indice c</w:t>
            </w:r>
            <w:r>
              <w:rPr>
                <w:sz w:val="18"/>
              </w:rPr>
              <w:t>ome coinvolta in attività con impatti ambientali e sociali altamente negativi, essa non sarà idonea come investimento sostenibile.</w:t>
            </w:r>
          </w:p>
          <w:p w14:paraId="2C0D70B6" w14:textId="77777777" w:rsidR="00C47BC8" w:rsidRDefault="00C47BC8">
            <w:pPr>
              <w:pStyle w:val="TableParagraph"/>
              <w:spacing w:before="16"/>
              <w:rPr>
                <w:b/>
                <w:sz w:val="20"/>
              </w:rPr>
            </w:pPr>
          </w:p>
          <w:p w14:paraId="1AA9C46C" w14:textId="77777777" w:rsidR="00C47BC8" w:rsidRDefault="00606574">
            <w:pPr>
              <w:pStyle w:val="TableParagraph"/>
              <w:spacing w:line="247" w:lineRule="auto"/>
              <w:ind w:left="107" w:right="175"/>
              <w:jc w:val="both"/>
              <w:rPr>
                <w:sz w:val="20"/>
              </w:rPr>
            </w:pPr>
            <w:r>
              <w:rPr>
                <w:sz w:val="18"/>
              </w:rPr>
              <w:t>Reproducendo l’Indice di Riferimento, che incorpora tali criteri di screening ambientali e sociali, il Gestore ha stabilito che, ad ogni ribilanciamento dell’indice (o non appena</w:t>
            </w:r>
          </w:p>
          <w:p w14:paraId="7DE11B17" w14:textId="77777777" w:rsidR="00C47BC8" w:rsidRDefault="00606574">
            <w:pPr>
              <w:pStyle w:val="TableParagraph"/>
              <w:spacing w:before="3" w:line="214" w:lineRule="exact"/>
              <w:ind w:left="107"/>
              <w:jc w:val="both"/>
              <w:rPr>
                <w:sz w:val="20"/>
              </w:rPr>
            </w:pPr>
            <w:r>
              <w:rPr>
                <w:sz w:val="18"/>
              </w:rPr>
              <w:t>possibile e fattibile in seguito), gli investimenti del Fondo qualificabili come sostenibili</w:t>
            </w:r>
          </w:p>
        </w:tc>
      </w:tr>
    </w:tbl>
    <w:p w14:paraId="0C34F27E" w14:textId="77777777" w:rsidR="00C47BC8" w:rsidRDefault="00C47BC8">
      <w:pPr>
        <w:pStyle w:val="TableParagraph"/>
        <w:spacing w:line="214" w:lineRule="exact"/>
        <w:jc w:val="both"/>
        <w:rPr>
          <w:sz w:val="20"/>
        </w:rPr>
        <w:sectPr w:rsidR="00C47BC8">
          <w:pgSz w:w="11910" w:h="16840"/>
          <w:pgMar w:top="1380" w:right="425" w:bottom="800" w:left="0" w:header="0" w:footer="617" w:gutter="0"/>
          <w:cols w:space="708"/>
        </w:sectPr>
      </w:pPr>
    </w:p>
    <w:p w14:paraId="664780D2" w14:textId="77777777" w:rsidR="00C47BC8" w:rsidRDefault="00C47BC8">
      <w:pPr>
        <w:pStyle w:val="Corpotesto"/>
        <w:rPr>
          <w:b/>
          <w:sz w:val="2"/>
        </w:rPr>
      </w:pPr>
    </w:p>
    <w:tbl>
      <w:tblPr>
        <w:tblStyle w:val="TableNormal"/>
        <w:tblW w:w="0" w:type="auto"/>
        <w:tblInd w:w="26" w:type="dxa"/>
        <w:tblBorders>
          <w:top w:val="single" w:sz="4" w:space="0" w:color="E8E8E8"/>
          <w:left w:val="single" w:sz="4" w:space="0" w:color="E8E8E8"/>
          <w:bottom w:val="single" w:sz="4" w:space="0" w:color="E8E8E8"/>
          <w:right w:val="single" w:sz="4" w:space="0" w:color="E8E8E8"/>
          <w:insideH w:val="single" w:sz="4" w:space="0" w:color="E8E8E8"/>
          <w:insideV w:val="single" w:sz="4" w:space="0" w:color="E8E8E8"/>
        </w:tblBorders>
        <w:tblLayout w:type="fixed"/>
        <w:tblLook w:val="01E0" w:firstRow="1" w:lastRow="1" w:firstColumn="1" w:lastColumn="1" w:noHBand="0" w:noVBand="0"/>
      </w:tblPr>
      <w:tblGrid>
        <w:gridCol w:w="2440"/>
        <w:gridCol w:w="408"/>
        <w:gridCol w:w="8498"/>
      </w:tblGrid>
      <w:tr w:rsidR="00C47BC8" w14:paraId="78179CB2" w14:textId="77777777">
        <w:trPr>
          <w:trHeight w:val="713"/>
        </w:trPr>
        <w:tc>
          <w:tcPr>
            <w:tcW w:w="2440" w:type="dxa"/>
            <w:shd w:val="clear" w:color="auto" w:fill="D9D9D9"/>
          </w:tcPr>
          <w:p w14:paraId="6025E934" w14:textId="77777777" w:rsidR="00C47BC8" w:rsidRDefault="00C47BC8">
            <w:pPr>
              <w:pStyle w:val="TableParagraph"/>
              <w:rPr>
                <w:rFonts w:ascii="Times New Roman"/>
                <w:sz w:val="20"/>
              </w:rPr>
            </w:pPr>
          </w:p>
        </w:tc>
        <w:tc>
          <w:tcPr>
            <w:tcW w:w="408" w:type="dxa"/>
          </w:tcPr>
          <w:p w14:paraId="297065D4" w14:textId="77777777" w:rsidR="00C47BC8" w:rsidRDefault="00C47BC8">
            <w:pPr>
              <w:pStyle w:val="TableParagraph"/>
              <w:rPr>
                <w:rFonts w:ascii="Times New Roman"/>
                <w:sz w:val="20"/>
              </w:rPr>
            </w:pPr>
          </w:p>
        </w:tc>
        <w:tc>
          <w:tcPr>
            <w:tcW w:w="8498" w:type="dxa"/>
          </w:tcPr>
          <w:p w14:paraId="57FF4C1B" w14:textId="77777777" w:rsidR="00C47BC8" w:rsidRDefault="00606574">
            <w:pPr>
              <w:pStyle w:val="TableParagraph"/>
              <w:spacing w:before="3" w:line="247" w:lineRule="auto"/>
              <w:ind w:left="107"/>
              <w:rPr>
                <w:sz w:val="20"/>
              </w:rPr>
            </w:pPr>
            <w:r>
              <w:rPr>
                <w:sz w:val="18"/>
              </w:rPr>
              <w:t>non causeranno un danno significativo a nessun obiettivo di sostenibilità ambientale o sociale ai sensi delle leggi e dei regolamenti applicabili.</w:t>
            </w:r>
          </w:p>
        </w:tc>
      </w:tr>
      <w:tr w:rsidR="00C47BC8" w14:paraId="7F850F77" w14:textId="77777777">
        <w:trPr>
          <w:trHeight w:val="647"/>
        </w:trPr>
        <w:tc>
          <w:tcPr>
            <w:tcW w:w="2440" w:type="dxa"/>
            <w:vMerge w:val="restart"/>
          </w:tcPr>
          <w:p w14:paraId="3CE3404A" w14:textId="77777777" w:rsidR="00C47BC8" w:rsidRDefault="00C47BC8">
            <w:pPr>
              <w:pStyle w:val="TableParagraph"/>
              <w:rPr>
                <w:rFonts w:ascii="Times New Roman"/>
                <w:sz w:val="20"/>
              </w:rPr>
            </w:pPr>
          </w:p>
        </w:tc>
        <w:tc>
          <w:tcPr>
            <w:tcW w:w="408" w:type="dxa"/>
          </w:tcPr>
          <w:p w14:paraId="752638D0" w14:textId="77777777" w:rsidR="00C47BC8" w:rsidRDefault="00C47BC8">
            <w:pPr>
              <w:pStyle w:val="TableParagraph"/>
              <w:rPr>
                <w:rFonts w:ascii="Times New Roman"/>
                <w:sz w:val="20"/>
              </w:rPr>
            </w:pPr>
          </w:p>
        </w:tc>
        <w:tc>
          <w:tcPr>
            <w:tcW w:w="8498" w:type="dxa"/>
          </w:tcPr>
          <w:p w14:paraId="565E6CE9" w14:textId="77777777" w:rsidR="00C47BC8" w:rsidRDefault="00606574">
            <w:pPr>
              <w:pStyle w:val="TableParagraph"/>
              <w:ind w:left="844"/>
              <w:rPr>
                <w:i/>
                <w:sz w:val="20"/>
              </w:rPr>
            </w:pPr>
            <w:r>
              <w:rPr>
                <w:i/>
                <w:noProof/>
                <w:sz w:val="20"/>
              </w:rPr>
              <mc:AlternateContent>
                <mc:Choice Requires="wpg">
                  <w:drawing>
                    <wp:anchor distT="0" distB="0" distL="0" distR="0" simplePos="0" relativeHeight="251674624" behindDoc="1" locked="0" layoutInCell="1" allowOverlap="1" wp14:anchorId="1630BCCE" wp14:editId="66C7EC06">
                      <wp:simplePos x="0" y="0"/>
                      <wp:positionH relativeFrom="column">
                        <wp:posOffset>132968</wp:posOffset>
                      </wp:positionH>
                      <wp:positionV relativeFrom="paragraph">
                        <wp:posOffset>65149</wp:posOffset>
                      </wp:positionV>
                      <wp:extent cx="321310" cy="12700"/>
                      <wp:effectExtent l="0" t="0" r="0" b="0"/>
                      <wp:wrapNone/>
                      <wp:docPr id="13" name="Group 13"/>
                      <wp:cNvGraphicFramePr/>
                      <a:graphic xmlns:a="http://schemas.openxmlformats.org/drawingml/2006/main">
                        <a:graphicData uri="http://schemas.microsoft.com/office/word/2010/wordprocessingGroup">
                          <wpg:wgp>
                            <wpg:cNvGrpSpPr/>
                            <wpg:grpSpPr>
                              <a:xfrm>
                                <a:off x="0" y="0"/>
                                <a:ext cx="321310" cy="12700"/>
                                <a:chOff x="0" y="0"/>
                                <a:chExt cx="321310" cy="12700"/>
                              </a:xfrm>
                            </wpg:grpSpPr>
                            <wps:wsp>
                              <wps:cNvPr id="14" name="Graphic 14"/>
                              <wps:cNvSpPr/>
                              <wps:spPr>
                                <a:xfrm>
                                  <a:off x="0" y="6350"/>
                                  <a:ext cx="321310" cy="1270"/>
                                </a:xfrm>
                                <a:custGeom>
                                  <a:avLst/>
                                  <a:gdLst/>
                                  <a:ahLst/>
                                  <a:cxnLst/>
                                  <a:rect l="l" t="t" r="r" b="b"/>
                                  <a:pathLst>
                                    <a:path w="321310">
                                      <a:moveTo>
                                        <a:pt x="321310" y="0"/>
                                      </a:moveTo>
                                      <a:lnTo>
                                        <a:pt x="0" y="0"/>
                                      </a:lnTo>
                                    </a:path>
                                  </a:pathLst>
                                </a:custGeom>
                                <a:ln w="12700">
                                  <a:solidFill>
                                    <a:srgbClr val="E7E6E6"/>
                                  </a:solidFill>
                                  <a:prstDash val="lgDash"/>
                                </a:ln>
                              </wps:spPr>
                              <wps:bodyPr wrap="square" lIns="0" tIns="0" rIns="0" bIns="0" rtlCol="0">
                                <a:prstTxWarp prst="textNoShape">
                                  <a:avLst/>
                                </a:prstTxWarp>
                              </wps:bodyPr>
                            </wps:wsp>
                          </wpg:wgp>
                        </a:graphicData>
                      </a:graphic>
                    </wp:anchor>
                  </w:drawing>
                </mc:Choice>
                <mc:Fallback>
                  <w:pict>
                    <v:group w14:anchorId="2D05B4B7" id="Group 13" o:spid="_x0000_s1026" style="position:absolute;margin-left:10.45pt;margin-top:5.15pt;width:25.3pt;height:1pt;z-index:-251641856;mso-wrap-distance-left:0;mso-wrap-distance-right:0" coordsize="32131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">
                      <v:shape id="Graphic 14" o:spid="_x0000_s1027" style="position:absolute;top:6350;width:321310;height:1270;visibility:visible;mso-wrap-style:square;v-text-anchor:top" coordsize="3213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" path="m321310,l,e" filled="f" strokecolor="#e7e6e6" strokeweight="1pt">
                        <v:stroke dashstyle="longDash"/>
                        <v:path arrowok="t"/>
                      </v:shape>
                    </v:group>
                  </w:pict>
                </mc:Fallback>
              </mc:AlternateContent>
            </w:r>
            <w:r>
              <w:rPr>
                <w:i/>
                <w:sz w:val="18"/>
              </w:rPr>
              <w:t>In che modo sono stati presi in considerazione gli indicatori relativi agli impatti negativi sui fattori di sostenibilità?</w:t>
            </w:r>
          </w:p>
        </w:tc>
      </w:tr>
      <w:tr w:rsidR="00C47BC8" w14:paraId="7618A1FB" w14:textId="77777777">
        <w:trPr>
          <w:trHeight w:val="7153"/>
        </w:trPr>
        <w:tc>
          <w:tcPr>
            <w:tcW w:w="2440" w:type="dxa"/>
            <w:vMerge/>
            <w:tcBorders>
              <w:top w:val="nil"/>
            </w:tcBorders>
          </w:tcPr>
          <w:p w14:paraId="2EAF4CDB" w14:textId="77777777" w:rsidR="00C47BC8" w:rsidRDefault="00C47BC8">
            <w:pPr>
              <w:rPr>
                <w:sz w:val="2"/>
                <w:szCs w:val="2"/>
              </w:rPr>
            </w:pPr>
          </w:p>
        </w:tc>
        <w:tc>
          <w:tcPr>
            <w:tcW w:w="408" w:type="dxa"/>
          </w:tcPr>
          <w:p w14:paraId="16243485" w14:textId="77777777" w:rsidR="00C47BC8" w:rsidRDefault="00C47BC8">
            <w:pPr>
              <w:pStyle w:val="TableParagraph"/>
              <w:rPr>
                <w:rFonts w:ascii="Times New Roman"/>
                <w:sz w:val="20"/>
              </w:rPr>
            </w:pPr>
          </w:p>
        </w:tc>
        <w:tc>
          <w:tcPr>
            <w:tcW w:w="8498" w:type="dxa"/>
          </w:tcPr>
          <w:p w14:paraId="05FF8652" w14:textId="77777777" w:rsidR="00C47BC8" w:rsidRDefault="00606574">
            <w:pPr>
              <w:pStyle w:val="TableParagraph"/>
              <w:spacing w:before="173" w:line="249" w:lineRule="auto"/>
              <w:ind w:left="107" w:right="97"/>
              <w:jc w:val="both"/>
              <w:rPr>
                <w:sz w:val="20"/>
              </w:rPr>
            </w:pPr>
            <w:r>
              <w:rPr>
                <w:sz w:val="18"/>
              </w:rPr>
              <w:t>Gli indicatori obbligatori relativi agli impatti negativi sui fattori di sostenibilità (come definiti nelle Norme Tecniche di Regolamentazione (RTS) ai sensi dello SFDR) sono considerati attraverso i criteri di screening applicati dal fornitore dell’indice nella selezione dei componenti dell’indice qualificabili come investimenti sostenibili. Gli indicatori obbligatori sono riportati nella tabella sottostante (vedere “Questo prodotto finanziario tiene conto dei principali impatti negativi sui fattori di sos</w:t>
            </w:r>
            <w:r>
              <w:rPr>
                <w:sz w:val="18"/>
              </w:rPr>
              <w:t>tenibilità?”).</w:t>
            </w:r>
          </w:p>
          <w:p w14:paraId="36D0AD83" w14:textId="77777777" w:rsidR="00C47BC8" w:rsidRDefault="00606574">
            <w:pPr>
              <w:pStyle w:val="TableParagraph"/>
              <w:spacing w:before="173" w:line="249" w:lineRule="auto"/>
              <w:ind w:left="107" w:right="96"/>
              <w:jc w:val="both"/>
              <w:rPr>
                <w:sz w:val="20"/>
              </w:rPr>
            </w:pPr>
            <w:r>
              <w:rPr>
                <w:sz w:val="18"/>
              </w:rPr>
              <w:t>A seguito dei criteri di screening applicati dal fornitore dell’indice, i seguenti investimenti all’interno dell’Indice di Riferimento non si qualificano come investimenti sostenibili: (1) società che ricavano una percentuale minima di ricavi dal carbone termico (come determinato dal fornitore dell’indice), che è significativamente ad alta intensità di carbonio e contribuisce in modo rilevante alle emissioni di gas serra (tenendo conto degli indicatori relativi alle emissioni di gas serra) (2) società con u</w:t>
            </w:r>
            <w:r>
              <w:rPr>
                <w:sz w:val="18"/>
              </w:rPr>
              <w:t>n ISS ESG Carbon Risk Rating inferiore a 25, che misura la preparazione delle società alla transizione verso un'economia a basse emissioni di carbonio e che sono identificate come Climate Laggard (tenendo conto degli indicatori relativi alle emissioni di gas serra, comprese le emissioni di carbonio e l'uso di energia rinnovabile/non rinnovabile), e (3) le società identificate come "Rosse" nell'ambito della valutazione di screening basata sulle norme del fornitore dell'indice, che sono state ritenute non con</w:t>
            </w:r>
            <w:r>
              <w:rPr>
                <w:sz w:val="18"/>
              </w:rPr>
              <w:t>formi alle norme stabilite (e non hanno affrontato le questioni correlate) relative agli standard di lavoro, alla protezione ambientale e all'anticorruzione stabilite nel Global Compact delle Nazioni Unite e nelle Linee guida dell'OCSE (tenendo conto degli indicatori relativi alla biodiversità, all'acqua, ai rifiuti e alle questioni sociali e relative ai dipendenti).</w:t>
            </w:r>
          </w:p>
          <w:p w14:paraId="7E9D5D7E" w14:textId="77777777" w:rsidR="00C47BC8" w:rsidRDefault="00606574">
            <w:pPr>
              <w:pStyle w:val="TableParagraph"/>
              <w:spacing w:before="179" w:line="249" w:lineRule="auto"/>
              <w:ind w:left="107" w:right="95"/>
              <w:jc w:val="both"/>
              <w:rPr>
                <w:sz w:val="20"/>
              </w:rPr>
            </w:pPr>
            <w:r>
              <w:rPr>
                <w:sz w:val="18"/>
              </w:rPr>
              <w:t>L’Indice di Riferimento esclude inoltre: (1) le società classificate come violatrici o a rischio di violazione delle norme e degli standard internazionali comunemente accettati, sanciti dai (UNGC), le Linee guida dell’Organizzazione per la cooperazione e lo sviluppo economico (OCSE) per le imprese multinazionali, i Principi guida delle Nazioni Unite su imprese e diritti umani (UNGPs) e le convenzioni sottostanti e (2) le società per le quali è stato accertato un qualsiasi legame con armi controverse (tenend</w:t>
            </w:r>
            <w:r>
              <w:rPr>
                <w:sz w:val="18"/>
              </w:rPr>
              <w:t>o conto degli indicatori relativi ai legami con armi controverse).</w:t>
            </w:r>
          </w:p>
        </w:tc>
      </w:tr>
      <w:tr w:rsidR="00C47BC8" w14:paraId="19B0409E" w14:textId="77777777">
        <w:trPr>
          <w:trHeight w:val="890"/>
        </w:trPr>
        <w:tc>
          <w:tcPr>
            <w:tcW w:w="2440" w:type="dxa"/>
          </w:tcPr>
          <w:p w14:paraId="2A0B1A16" w14:textId="77777777" w:rsidR="00C47BC8" w:rsidRDefault="00C47BC8">
            <w:pPr>
              <w:pStyle w:val="TableParagraph"/>
              <w:rPr>
                <w:rFonts w:ascii="Times New Roman"/>
                <w:sz w:val="20"/>
              </w:rPr>
            </w:pPr>
          </w:p>
        </w:tc>
        <w:tc>
          <w:tcPr>
            <w:tcW w:w="408" w:type="dxa"/>
          </w:tcPr>
          <w:p w14:paraId="06F49A3C" w14:textId="77777777" w:rsidR="00C47BC8" w:rsidRDefault="00C47BC8">
            <w:pPr>
              <w:pStyle w:val="TableParagraph"/>
              <w:rPr>
                <w:rFonts w:ascii="Times New Roman"/>
                <w:sz w:val="20"/>
              </w:rPr>
            </w:pPr>
          </w:p>
        </w:tc>
        <w:tc>
          <w:tcPr>
            <w:tcW w:w="8498" w:type="dxa"/>
          </w:tcPr>
          <w:p w14:paraId="70CD93E9" w14:textId="77777777" w:rsidR="00C47BC8" w:rsidRDefault="00606574">
            <w:pPr>
              <w:pStyle w:val="TableParagraph"/>
              <w:ind w:left="844" w:right="95"/>
              <w:jc w:val="both"/>
              <w:rPr>
                <w:i/>
                <w:sz w:val="20"/>
              </w:rPr>
            </w:pPr>
            <w:r>
              <w:rPr>
                <w:i/>
                <w:noProof/>
                <w:sz w:val="20"/>
              </w:rPr>
              <mc:AlternateContent>
                <mc:Choice Requires="wpg">
                  <w:drawing>
                    <wp:anchor distT="0" distB="0" distL="0" distR="0" simplePos="0" relativeHeight="251672576" behindDoc="1" locked="0" layoutInCell="1" allowOverlap="1" wp14:anchorId="1EB67D12" wp14:editId="59E8DBAD">
                      <wp:simplePos x="0" y="0"/>
                      <wp:positionH relativeFrom="column">
                        <wp:posOffset>132968</wp:posOffset>
                      </wp:positionH>
                      <wp:positionV relativeFrom="paragraph">
                        <wp:posOffset>62736</wp:posOffset>
                      </wp:positionV>
                      <wp:extent cx="321310" cy="12700"/>
                      <wp:effectExtent l="0" t="0" r="0" b="0"/>
                      <wp:wrapNone/>
                      <wp:docPr id="15" name="Group 15"/>
                      <wp:cNvGraphicFramePr/>
                      <a:graphic xmlns:a="http://schemas.openxmlformats.org/drawingml/2006/main">
                        <a:graphicData uri="http://schemas.microsoft.com/office/word/2010/wordprocessingGroup">
                          <wpg:wgp>
                            <wpg:cNvGrpSpPr/>
                            <wpg:grpSpPr>
                              <a:xfrm>
                                <a:off x="0" y="0"/>
                                <a:ext cx="321310" cy="12700"/>
                                <a:chOff x="0" y="0"/>
                                <a:chExt cx="321310" cy="12700"/>
                              </a:xfrm>
                            </wpg:grpSpPr>
                            <wps:wsp>
                              <wps:cNvPr id="16" name="Graphic 16"/>
                              <wps:cNvSpPr/>
                              <wps:spPr>
                                <a:xfrm>
                                  <a:off x="0" y="6350"/>
                                  <a:ext cx="321310" cy="1270"/>
                                </a:xfrm>
                                <a:custGeom>
                                  <a:avLst/>
                                  <a:gdLst/>
                                  <a:ahLst/>
                                  <a:cxnLst/>
                                  <a:rect l="l" t="t" r="r" b="b"/>
                                  <a:pathLst>
                                    <a:path w="321310">
                                      <a:moveTo>
                                        <a:pt x="321310" y="0"/>
                                      </a:moveTo>
                                      <a:lnTo>
                                        <a:pt x="0" y="0"/>
                                      </a:lnTo>
                                    </a:path>
                                  </a:pathLst>
                                </a:custGeom>
                                <a:ln w="12700">
                                  <a:solidFill>
                                    <a:srgbClr val="E7E6E6"/>
                                  </a:solidFill>
                                  <a:prstDash val="lgDash"/>
                                </a:ln>
                              </wps:spPr>
                              <wps:bodyPr wrap="square" lIns="0" tIns="0" rIns="0" bIns="0" rtlCol="0">
                                <a:prstTxWarp prst="textNoShape">
                                  <a:avLst/>
                                </a:prstTxWarp>
                              </wps:bodyPr>
                            </wps:wsp>
                          </wpg:wgp>
                        </a:graphicData>
                      </a:graphic>
                    </wp:anchor>
                  </w:drawing>
                </mc:Choice>
                <mc:Fallback>
                  <w:pict>
                    <v:group w14:anchorId="68940CF8" id="Group 15" o:spid="_x0000_s1026" style="position:absolute;margin-left:10.45pt;margin-top:4.95pt;width:25.3pt;height:1pt;z-index:-251643904;mso-wrap-distance-left:0;mso-wrap-distance-right:0" coordsize="32131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">
                      <v:shape id="Graphic 16" o:spid="_x0000_s1027" style="position:absolute;top:6350;width:321310;height:1270;visibility:visible;mso-wrap-style:square;v-text-anchor:top" coordsize="3213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" path="m321310,l,e" filled="f" strokecolor="#e7e6e6" strokeweight="1pt">
                        <v:stroke dashstyle="longDash"/>
                        <v:path arrowok="t"/>
                      </v:shape>
                    </v:group>
                  </w:pict>
                </mc:Fallback>
              </mc:AlternateContent>
            </w:r>
            <w:r>
              <w:rPr>
                <w:i/>
                <w:sz w:val="18"/>
              </w:rPr>
              <w:t>In che modo gli investimenti sostenibili sono allineati alle Linee guida dell'OCSE per le imprese multinazionali e ai Principi guida delle Nazioni Unite su imprese e diritti umani? Dettagli:</w:t>
            </w:r>
          </w:p>
        </w:tc>
      </w:tr>
      <w:tr w:rsidR="00C47BC8" w14:paraId="18A04132" w14:textId="77777777">
        <w:trPr>
          <w:trHeight w:val="1610"/>
        </w:trPr>
        <w:tc>
          <w:tcPr>
            <w:tcW w:w="2440" w:type="dxa"/>
          </w:tcPr>
          <w:p w14:paraId="19ABA154" w14:textId="77777777" w:rsidR="00C47BC8" w:rsidRDefault="00C47BC8">
            <w:pPr>
              <w:pStyle w:val="TableParagraph"/>
              <w:rPr>
                <w:rFonts w:ascii="Times New Roman"/>
                <w:sz w:val="20"/>
              </w:rPr>
            </w:pPr>
          </w:p>
        </w:tc>
        <w:tc>
          <w:tcPr>
            <w:tcW w:w="408" w:type="dxa"/>
          </w:tcPr>
          <w:p w14:paraId="6858C245" w14:textId="77777777" w:rsidR="00C47BC8" w:rsidRDefault="00C47BC8">
            <w:pPr>
              <w:pStyle w:val="TableParagraph"/>
              <w:rPr>
                <w:rFonts w:ascii="Times New Roman"/>
                <w:sz w:val="20"/>
              </w:rPr>
            </w:pPr>
          </w:p>
        </w:tc>
        <w:tc>
          <w:tcPr>
            <w:tcW w:w="8498" w:type="dxa"/>
          </w:tcPr>
          <w:p w14:paraId="3021B818" w14:textId="77777777" w:rsidR="00C47BC8" w:rsidRDefault="00606574">
            <w:pPr>
              <w:pStyle w:val="TableParagraph"/>
              <w:ind w:left="107" w:right="98"/>
              <w:jc w:val="both"/>
              <w:rPr>
                <w:sz w:val="20"/>
              </w:rPr>
            </w:pPr>
            <w:r>
              <w:rPr>
                <w:sz w:val="18"/>
              </w:rPr>
              <w:t>L'indice di riferimento del Fondo esclude gli emittenti classificati come violatori o a rischio di violazione delle norme e degli standard internazionali comunemente accettati, sanciti dai Principi del Global Compact delle Nazioni Unite (UNGC), dalle Linee guida dell'Organizzazione per la cooperazione e lo sviluppo economico (OCSE) per le imprese multinazionali, dai Principi guida delle Nazioni Unite su imprese e diritti umani (UNGPs) e dalle convenzioni sottostanti. L'indice di riferimento applica i suddet</w:t>
            </w:r>
            <w:r>
              <w:rPr>
                <w:sz w:val="18"/>
              </w:rPr>
              <w:t>ti criteri di esclusione ad ogni ribilanciamento dell'indice.</w:t>
            </w:r>
          </w:p>
        </w:tc>
      </w:tr>
      <w:tr w:rsidR="00C47BC8" w14:paraId="7E078D51" w14:textId="77777777">
        <w:trPr>
          <w:trHeight w:val="230"/>
        </w:trPr>
        <w:tc>
          <w:tcPr>
            <w:tcW w:w="2440" w:type="dxa"/>
          </w:tcPr>
          <w:p w14:paraId="56F1D1C9" w14:textId="77777777" w:rsidR="00C47BC8" w:rsidRDefault="00C47BC8">
            <w:pPr>
              <w:pStyle w:val="TableParagraph"/>
              <w:rPr>
                <w:rFonts w:ascii="Times New Roman"/>
                <w:sz w:val="16"/>
              </w:rPr>
            </w:pPr>
          </w:p>
        </w:tc>
        <w:tc>
          <w:tcPr>
            <w:tcW w:w="408" w:type="dxa"/>
          </w:tcPr>
          <w:p w14:paraId="1609F5D2" w14:textId="77777777" w:rsidR="00C47BC8" w:rsidRDefault="00C47BC8">
            <w:pPr>
              <w:pStyle w:val="TableParagraph"/>
              <w:rPr>
                <w:rFonts w:ascii="Times New Roman"/>
                <w:sz w:val="16"/>
              </w:rPr>
            </w:pPr>
          </w:p>
        </w:tc>
        <w:tc>
          <w:tcPr>
            <w:tcW w:w="8498" w:type="dxa"/>
            <w:shd w:val="clear" w:color="auto" w:fill="F9E1D4"/>
          </w:tcPr>
          <w:p w14:paraId="17283F0D" w14:textId="77777777" w:rsidR="00C47BC8" w:rsidRDefault="00C47BC8">
            <w:pPr>
              <w:pStyle w:val="TableParagraph"/>
              <w:rPr>
                <w:rFonts w:ascii="Times New Roman"/>
                <w:sz w:val="16"/>
              </w:rPr>
            </w:pPr>
          </w:p>
        </w:tc>
      </w:tr>
      <w:tr w:rsidR="00C47BC8" w14:paraId="3C0EFA99" w14:textId="77777777">
        <w:trPr>
          <w:trHeight w:val="2529"/>
        </w:trPr>
        <w:tc>
          <w:tcPr>
            <w:tcW w:w="2440" w:type="dxa"/>
          </w:tcPr>
          <w:p w14:paraId="02C55417" w14:textId="77777777" w:rsidR="00C47BC8" w:rsidRDefault="00C47BC8">
            <w:pPr>
              <w:pStyle w:val="TableParagraph"/>
              <w:rPr>
                <w:rFonts w:ascii="Times New Roman"/>
                <w:sz w:val="20"/>
              </w:rPr>
            </w:pPr>
          </w:p>
        </w:tc>
        <w:tc>
          <w:tcPr>
            <w:tcW w:w="408" w:type="dxa"/>
          </w:tcPr>
          <w:p w14:paraId="6737ACFA" w14:textId="77777777" w:rsidR="00C47BC8" w:rsidRDefault="00C47BC8">
            <w:pPr>
              <w:pStyle w:val="TableParagraph"/>
              <w:rPr>
                <w:rFonts w:ascii="Times New Roman"/>
                <w:sz w:val="20"/>
              </w:rPr>
            </w:pPr>
          </w:p>
        </w:tc>
        <w:tc>
          <w:tcPr>
            <w:tcW w:w="8498" w:type="dxa"/>
            <w:shd w:val="clear" w:color="auto" w:fill="F9E1D4"/>
          </w:tcPr>
          <w:p w14:paraId="5DF3DC9F" w14:textId="77777777" w:rsidR="00C47BC8" w:rsidRDefault="00606574">
            <w:pPr>
              <w:pStyle w:val="TableParagraph"/>
              <w:ind w:left="107" w:right="96"/>
              <w:jc w:val="both"/>
              <w:rPr>
                <w:i/>
                <w:sz w:val="20"/>
              </w:rPr>
            </w:pPr>
            <w:r>
              <w:rPr>
                <w:i/>
                <w:sz w:val="18"/>
              </w:rPr>
              <w:t>La tassonomia dell'UE stabilisce il principio del "non causare danni significativi", secondo cui gli investimenti allineati alla tassonomia non devono danneggiare in modo significativo gli obiettivi della tassonomia dell'UE, ed è accompagnata da criteri specifici dell'UE.</w:t>
            </w:r>
          </w:p>
          <w:p w14:paraId="6F639C85" w14:textId="77777777" w:rsidR="00C47BC8" w:rsidRDefault="00606574">
            <w:pPr>
              <w:pStyle w:val="TableParagraph"/>
              <w:spacing w:before="230"/>
              <w:ind w:left="107" w:right="96"/>
              <w:jc w:val="both"/>
              <w:rPr>
                <w:i/>
                <w:sz w:val="20"/>
              </w:rPr>
            </w:pPr>
            <w:r>
              <w:rPr>
                <w:i/>
                <w:sz w:val="18"/>
              </w:rPr>
              <w:t>Il principio del “non causare danni significativi” si applica solo agli investimenti sottostanti al prodotto finanziario che tengono conto dei criteri dell’UE per le attività economiche sostenibili dal punto di vista ambientale. Gli investimenti sottostanti alla restante parte di questo prodotto finanziario non tengono conto dei criteri dell’UE per le attività economiche sostenibili dal punto di vista ambientale.</w:t>
            </w:r>
          </w:p>
          <w:p w14:paraId="5B789592" w14:textId="77777777" w:rsidR="00C47BC8" w:rsidRDefault="00606574">
            <w:pPr>
              <w:pStyle w:val="TableParagraph"/>
              <w:spacing w:before="209" w:line="230" w:lineRule="atLeast"/>
              <w:ind w:left="107" w:right="97"/>
              <w:jc w:val="both"/>
              <w:rPr>
                <w:i/>
                <w:sz w:val="20"/>
              </w:rPr>
            </w:pPr>
            <w:r>
              <w:rPr>
                <w:i/>
                <w:sz w:val="18"/>
              </w:rPr>
              <w:t>Anche qualsiasi altro investimento sostenibile non deve arrecare danno significativo ad alcun obiettivo ambientale o sociale.</w:t>
            </w:r>
          </w:p>
        </w:tc>
      </w:tr>
    </w:tbl>
    <w:p w14:paraId="25B0A363" w14:textId="77777777" w:rsidR="00C47BC8" w:rsidRDefault="00C47BC8">
      <w:pPr>
        <w:pStyle w:val="TableParagraph"/>
        <w:spacing w:line="230" w:lineRule="atLeast"/>
        <w:jc w:val="both"/>
        <w:rPr>
          <w:i/>
          <w:sz w:val="20"/>
        </w:rPr>
        <w:sectPr w:rsidR="00C47BC8">
          <w:pgSz w:w="11910" w:h="16840"/>
          <w:pgMar w:top="1380" w:right="425" w:bottom="800" w:left="0" w:header="0" w:footer="617" w:gutter="0"/>
          <w:cols w:space="708"/>
        </w:sectPr>
      </w:pPr>
    </w:p>
    <w:p w14:paraId="0478E4B6" w14:textId="77777777" w:rsidR="00C47BC8" w:rsidRDefault="00C47BC8">
      <w:pPr>
        <w:pStyle w:val="Corpotesto"/>
        <w:rPr>
          <w:b/>
          <w:sz w:val="2"/>
        </w:rPr>
      </w:pPr>
    </w:p>
    <w:tbl>
      <w:tblPr>
        <w:tblStyle w:val="TableNormal"/>
        <w:tblW w:w="0" w:type="auto"/>
        <w:tblInd w:w="26" w:type="dxa"/>
        <w:tblBorders>
          <w:top w:val="single" w:sz="4" w:space="0" w:color="E8E8E8"/>
          <w:left w:val="single" w:sz="4" w:space="0" w:color="E8E8E8"/>
          <w:bottom w:val="single" w:sz="4" w:space="0" w:color="E8E8E8"/>
          <w:right w:val="single" w:sz="4" w:space="0" w:color="E8E8E8"/>
          <w:insideH w:val="single" w:sz="4" w:space="0" w:color="E8E8E8"/>
          <w:insideV w:val="single" w:sz="4" w:space="0" w:color="E8E8E8"/>
        </w:tblBorders>
        <w:tblLayout w:type="fixed"/>
        <w:tblLook w:val="01E0" w:firstRow="1" w:lastRow="1" w:firstColumn="1" w:lastColumn="1" w:noHBand="0" w:noVBand="0"/>
      </w:tblPr>
      <w:tblGrid>
        <w:gridCol w:w="2440"/>
        <w:gridCol w:w="408"/>
        <w:gridCol w:w="113"/>
        <w:gridCol w:w="988"/>
        <w:gridCol w:w="2750"/>
        <w:gridCol w:w="1174"/>
        <w:gridCol w:w="1019"/>
        <w:gridCol w:w="1020"/>
        <w:gridCol w:w="1097"/>
        <w:gridCol w:w="345"/>
      </w:tblGrid>
      <w:tr w:rsidR="00C47BC8" w14:paraId="0D9D9857" w14:textId="77777777">
        <w:trPr>
          <w:trHeight w:val="459"/>
        </w:trPr>
        <w:tc>
          <w:tcPr>
            <w:tcW w:w="2440" w:type="dxa"/>
            <w:vMerge w:val="restart"/>
          </w:tcPr>
          <w:p w14:paraId="2CEAC221" w14:textId="77777777" w:rsidR="00C47BC8" w:rsidRDefault="00C47BC8">
            <w:pPr>
              <w:pStyle w:val="TableParagraph"/>
              <w:spacing w:before="3"/>
              <w:rPr>
                <w:b/>
                <w:sz w:val="7"/>
              </w:rPr>
            </w:pPr>
          </w:p>
          <w:p w14:paraId="452645AD" w14:textId="77777777" w:rsidR="00C47BC8" w:rsidRDefault="00606574">
            <w:pPr>
              <w:pStyle w:val="TableParagraph"/>
              <w:ind w:left="148"/>
              <w:rPr>
                <w:sz w:val="20"/>
              </w:rPr>
            </w:pPr>
            <w:r>
              <w:rPr>
                <w:noProof/>
                <w:sz w:val="20"/>
              </w:rPr>
              <w:drawing>
                <wp:inline distT="0" distB="0" distL="0" distR="0" wp14:anchorId="55406845" wp14:editId="22ECF28A">
                  <wp:extent cx="1368432" cy="480917"/>
                  <wp:effectExtent l="0" t="0" r="0" b="0"/>
                  <wp:docPr id="17" name="Image 17"/>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6" cstate="print"/>
                          <a:stretch>
                            <a:fillRect/>
                          </a:stretch>
                        </pic:blipFill>
                        <pic:spPr>
                          <a:xfrm>
                            <a:off x="0" y="0"/>
                            <a:ext cx="1368432" cy="480917"/>
                          </a:xfrm>
                          <a:prstGeom prst="rect">
                            <a:avLst/>
                          </a:prstGeom>
                        </pic:spPr>
                      </pic:pic>
                    </a:graphicData>
                  </a:graphic>
                </wp:inline>
              </w:drawing>
            </w:r>
          </w:p>
        </w:tc>
        <w:tc>
          <w:tcPr>
            <w:tcW w:w="408" w:type="dxa"/>
          </w:tcPr>
          <w:p w14:paraId="684BE7F2" w14:textId="77777777" w:rsidR="00C47BC8" w:rsidRDefault="00C47BC8">
            <w:pPr>
              <w:pStyle w:val="TableParagraph"/>
              <w:rPr>
                <w:rFonts w:ascii="Times New Roman"/>
                <w:sz w:val="18"/>
              </w:rPr>
            </w:pPr>
          </w:p>
        </w:tc>
        <w:tc>
          <w:tcPr>
            <w:tcW w:w="8506" w:type="dxa"/>
            <w:gridSpan w:val="8"/>
          </w:tcPr>
          <w:p w14:paraId="430E108C" w14:textId="77777777" w:rsidR="00C47BC8" w:rsidRDefault="00606574">
            <w:pPr>
              <w:pStyle w:val="TableParagraph"/>
              <w:spacing w:line="230" w:lineRule="exact"/>
              <w:ind w:left="107" w:right="76"/>
              <w:rPr>
                <w:b/>
                <w:sz w:val="20"/>
              </w:rPr>
            </w:pPr>
            <w:r>
              <w:rPr>
                <w:b/>
                <w:sz w:val="18"/>
              </w:rPr>
              <w:t>Questo prodotto finanziario tiene conto dei principali impatti negativi sui fattori di sostenibilità?</w:t>
            </w:r>
          </w:p>
        </w:tc>
      </w:tr>
      <w:tr w:rsidR="00C47BC8" w14:paraId="1D80F9F4" w14:textId="77777777">
        <w:trPr>
          <w:trHeight w:val="604"/>
        </w:trPr>
        <w:tc>
          <w:tcPr>
            <w:tcW w:w="2440" w:type="dxa"/>
            <w:vMerge/>
            <w:tcBorders>
              <w:top w:val="nil"/>
            </w:tcBorders>
          </w:tcPr>
          <w:p w14:paraId="71E9EE09" w14:textId="77777777" w:rsidR="00C47BC8" w:rsidRDefault="00C47BC8">
            <w:pPr>
              <w:rPr>
                <w:sz w:val="2"/>
                <w:szCs w:val="2"/>
              </w:rPr>
            </w:pPr>
          </w:p>
        </w:tc>
        <w:tc>
          <w:tcPr>
            <w:tcW w:w="408" w:type="dxa"/>
          </w:tcPr>
          <w:p w14:paraId="365DC475" w14:textId="77777777" w:rsidR="00C47BC8" w:rsidRDefault="00C47BC8">
            <w:pPr>
              <w:pStyle w:val="TableParagraph"/>
              <w:rPr>
                <w:rFonts w:ascii="Times New Roman"/>
                <w:sz w:val="18"/>
              </w:rPr>
            </w:pPr>
          </w:p>
        </w:tc>
        <w:tc>
          <w:tcPr>
            <w:tcW w:w="8506" w:type="dxa"/>
            <w:gridSpan w:val="8"/>
          </w:tcPr>
          <w:p w14:paraId="464699A4" w14:textId="77777777" w:rsidR="00C47BC8" w:rsidRDefault="00606574">
            <w:pPr>
              <w:pStyle w:val="TableParagraph"/>
              <w:spacing w:line="310" w:lineRule="exact"/>
              <w:ind w:left="107"/>
              <w:rPr>
                <w:sz w:val="20"/>
              </w:rPr>
            </w:pPr>
            <w:r>
              <w:rPr>
                <w:rFonts w:ascii="Arial Unicode MS" w:hAnsi="Arial Unicode MS"/>
                <w:w w:val="110"/>
                <w:sz w:val="18"/>
              </w:rPr>
              <w:t>✔</w:t>
            </w:r>
            <w:r>
              <w:rPr>
                <w:rFonts w:ascii="Arial Unicode MS" w:hAnsi="Arial Unicode MS"/>
                <w:w w:val="110"/>
                <w:sz w:val="18"/>
              </w:rPr>
              <w:t xml:space="preserve"> </w:t>
            </w:r>
            <w:r>
              <w:rPr>
                <w:spacing w:val="-5"/>
                <w:w w:val="110"/>
                <w:sz w:val="18"/>
              </w:rPr>
              <w:t>Sì</w:t>
            </w:r>
          </w:p>
        </w:tc>
      </w:tr>
      <w:tr w:rsidR="00C47BC8" w14:paraId="3C81446F" w14:textId="77777777">
        <w:trPr>
          <w:trHeight w:val="453"/>
        </w:trPr>
        <w:tc>
          <w:tcPr>
            <w:tcW w:w="2440" w:type="dxa"/>
            <w:vMerge w:val="restart"/>
          </w:tcPr>
          <w:p w14:paraId="7801C327" w14:textId="77777777" w:rsidR="00C47BC8" w:rsidRDefault="00C47BC8">
            <w:pPr>
              <w:pStyle w:val="TableParagraph"/>
              <w:rPr>
                <w:rFonts w:ascii="Times New Roman"/>
                <w:sz w:val="18"/>
              </w:rPr>
            </w:pPr>
          </w:p>
        </w:tc>
        <w:tc>
          <w:tcPr>
            <w:tcW w:w="408" w:type="dxa"/>
            <w:vMerge w:val="restart"/>
          </w:tcPr>
          <w:p w14:paraId="76A8B43D" w14:textId="77777777" w:rsidR="00C47BC8" w:rsidRDefault="00C47BC8">
            <w:pPr>
              <w:pStyle w:val="TableParagraph"/>
              <w:rPr>
                <w:rFonts w:ascii="Times New Roman"/>
                <w:sz w:val="18"/>
              </w:rPr>
            </w:pPr>
          </w:p>
        </w:tc>
        <w:tc>
          <w:tcPr>
            <w:tcW w:w="8506" w:type="dxa"/>
            <w:gridSpan w:val="8"/>
            <w:tcBorders>
              <w:bottom w:val="nil"/>
            </w:tcBorders>
          </w:tcPr>
          <w:p w14:paraId="411778C7" w14:textId="77777777" w:rsidR="00C47BC8" w:rsidRDefault="00606574">
            <w:pPr>
              <w:pStyle w:val="TableParagraph"/>
              <w:numPr>
                <w:ilvl w:val="0"/>
                <w:numId w:val="2"/>
              </w:numPr>
              <w:tabs>
                <w:tab w:val="left" w:pos="279"/>
              </w:tabs>
              <w:spacing w:line="324" w:lineRule="exact"/>
              <w:ind w:left="279" w:hanging="172"/>
              <w:rPr>
                <w:sz w:val="20"/>
              </w:rPr>
            </w:pPr>
            <w:r>
              <w:rPr>
                <w:spacing w:val="-5"/>
                <w:sz w:val="18"/>
              </w:rPr>
              <w:t>No</w:t>
            </w:r>
          </w:p>
        </w:tc>
      </w:tr>
      <w:tr w:rsidR="00C47BC8" w14:paraId="6809F9EE" w14:textId="77777777">
        <w:trPr>
          <w:trHeight w:val="1455"/>
        </w:trPr>
        <w:tc>
          <w:tcPr>
            <w:tcW w:w="2440" w:type="dxa"/>
            <w:vMerge/>
            <w:tcBorders>
              <w:top w:val="nil"/>
            </w:tcBorders>
          </w:tcPr>
          <w:p w14:paraId="462B1D82" w14:textId="77777777" w:rsidR="00C47BC8" w:rsidRDefault="00C47BC8">
            <w:pPr>
              <w:rPr>
                <w:sz w:val="2"/>
                <w:szCs w:val="2"/>
              </w:rPr>
            </w:pPr>
          </w:p>
        </w:tc>
        <w:tc>
          <w:tcPr>
            <w:tcW w:w="408" w:type="dxa"/>
            <w:vMerge/>
            <w:tcBorders>
              <w:top w:val="nil"/>
            </w:tcBorders>
          </w:tcPr>
          <w:p w14:paraId="7F17CD21" w14:textId="77777777" w:rsidR="00C47BC8" w:rsidRDefault="00C47BC8">
            <w:pPr>
              <w:rPr>
                <w:sz w:val="2"/>
                <w:szCs w:val="2"/>
              </w:rPr>
            </w:pPr>
          </w:p>
        </w:tc>
        <w:tc>
          <w:tcPr>
            <w:tcW w:w="8506" w:type="dxa"/>
            <w:gridSpan w:val="8"/>
            <w:tcBorders>
              <w:top w:val="nil"/>
              <w:bottom w:val="nil"/>
            </w:tcBorders>
          </w:tcPr>
          <w:p w14:paraId="4F256113" w14:textId="77777777" w:rsidR="00C47BC8" w:rsidRDefault="00606574">
            <w:pPr>
              <w:pStyle w:val="TableParagraph"/>
              <w:spacing w:before="181" w:line="249" w:lineRule="auto"/>
              <w:ind w:left="107" w:right="178"/>
              <w:jc w:val="both"/>
              <w:rPr>
                <w:sz w:val="20"/>
              </w:rPr>
            </w:pPr>
            <w:r>
              <w:rPr>
                <w:sz w:val="18"/>
              </w:rPr>
              <w:t>Sì, il Fondo tiene conto dei principali impatti negativi sui fattori di sostenibilità monitorando l’Indice di Riferimento che incorpora determinati criteri ESG nella selezione dei componenti dell’indice. Il Gestore degli Investimenti ha stabilito che tali principali impatti negativi (PAI) contrassegnati con una “X” nella tabella sottostante sono considerati parte dei criteri di selezione dell’Indice di Riferimento ad ogni ribilanciamento dell’indice.</w:t>
            </w:r>
          </w:p>
        </w:tc>
      </w:tr>
      <w:tr w:rsidR="00C47BC8" w14:paraId="3C18E500" w14:textId="77777777">
        <w:trPr>
          <w:trHeight w:val="726"/>
        </w:trPr>
        <w:tc>
          <w:tcPr>
            <w:tcW w:w="2440" w:type="dxa"/>
            <w:vMerge/>
            <w:tcBorders>
              <w:top w:val="nil"/>
            </w:tcBorders>
          </w:tcPr>
          <w:p w14:paraId="61C60C1B" w14:textId="77777777" w:rsidR="00C47BC8" w:rsidRDefault="00C47BC8">
            <w:pPr>
              <w:rPr>
                <w:sz w:val="2"/>
                <w:szCs w:val="2"/>
              </w:rPr>
            </w:pPr>
          </w:p>
        </w:tc>
        <w:tc>
          <w:tcPr>
            <w:tcW w:w="408" w:type="dxa"/>
            <w:vMerge/>
            <w:tcBorders>
              <w:top w:val="nil"/>
            </w:tcBorders>
          </w:tcPr>
          <w:p w14:paraId="05CB5030" w14:textId="77777777" w:rsidR="00C47BC8" w:rsidRDefault="00C47BC8">
            <w:pPr>
              <w:rPr>
                <w:sz w:val="2"/>
                <w:szCs w:val="2"/>
              </w:rPr>
            </w:pPr>
          </w:p>
        </w:tc>
        <w:tc>
          <w:tcPr>
            <w:tcW w:w="8506" w:type="dxa"/>
            <w:gridSpan w:val="8"/>
            <w:tcBorders>
              <w:top w:val="nil"/>
              <w:bottom w:val="nil"/>
            </w:tcBorders>
          </w:tcPr>
          <w:p w14:paraId="63CFF5E3" w14:textId="77777777" w:rsidR="00C47BC8" w:rsidRDefault="00606574">
            <w:pPr>
              <w:pStyle w:val="TableParagraph"/>
              <w:spacing w:before="77" w:line="249" w:lineRule="auto"/>
              <w:ind w:left="107" w:right="76"/>
              <w:rPr>
                <w:sz w:val="20"/>
              </w:rPr>
            </w:pPr>
            <w:r>
              <w:rPr>
                <w:sz w:val="18"/>
              </w:rPr>
              <w:t>La relazione annuale del Fondo includerà informazioni sui principali impatti negativi sui fattori di sostenibilità indicati di seguito.</w:t>
            </w:r>
          </w:p>
        </w:tc>
      </w:tr>
      <w:tr w:rsidR="00C47BC8" w14:paraId="05CB3D1E" w14:textId="77777777">
        <w:trPr>
          <w:trHeight w:val="160"/>
        </w:trPr>
        <w:tc>
          <w:tcPr>
            <w:tcW w:w="2440" w:type="dxa"/>
            <w:vMerge/>
            <w:tcBorders>
              <w:top w:val="nil"/>
            </w:tcBorders>
          </w:tcPr>
          <w:p w14:paraId="2215FB2E" w14:textId="77777777" w:rsidR="00C47BC8" w:rsidRDefault="00C47BC8">
            <w:pPr>
              <w:rPr>
                <w:sz w:val="2"/>
                <w:szCs w:val="2"/>
              </w:rPr>
            </w:pPr>
          </w:p>
        </w:tc>
        <w:tc>
          <w:tcPr>
            <w:tcW w:w="408" w:type="dxa"/>
            <w:vMerge/>
            <w:tcBorders>
              <w:top w:val="nil"/>
            </w:tcBorders>
          </w:tcPr>
          <w:p w14:paraId="4051E6CF" w14:textId="77777777" w:rsidR="00C47BC8" w:rsidRDefault="00C47BC8">
            <w:pPr>
              <w:rPr>
                <w:sz w:val="2"/>
                <w:szCs w:val="2"/>
              </w:rPr>
            </w:pPr>
          </w:p>
        </w:tc>
        <w:tc>
          <w:tcPr>
            <w:tcW w:w="113" w:type="dxa"/>
            <w:vMerge w:val="restart"/>
            <w:tcBorders>
              <w:top w:val="nil"/>
              <w:right w:val="single" w:sz="4" w:space="0" w:color="000000"/>
            </w:tcBorders>
          </w:tcPr>
          <w:p w14:paraId="21105789" w14:textId="77777777" w:rsidR="00C47BC8" w:rsidRDefault="00C47BC8">
            <w:pPr>
              <w:pStyle w:val="TableParagraph"/>
              <w:rPr>
                <w:rFonts w:ascii="Times New Roman"/>
                <w:sz w:val="18"/>
              </w:rPr>
            </w:pPr>
          </w:p>
        </w:tc>
        <w:tc>
          <w:tcPr>
            <w:tcW w:w="988" w:type="dxa"/>
            <w:vMerge w:val="restart"/>
            <w:tcBorders>
              <w:top w:val="single" w:sz="4" w:space="0" w:color="000000"/>
              <w:left w:val="single" w:sz="4" w:space="0" w:color="000000"/>
              <w:bottom w:val="single" w:sz="4" w:space="0" w:color="000000"/>
              <w:right w:val="single" w:sz="4" w:space="0" w:color="000000"/>
            </w:tcBorders>
          </w:tcPr>
          <w:p w14:paraId="0AFAEF6D" w14:textId="77777777" w:rsidR="00C47BC8" w:rsidRDefault="00C47BC8">
            <w:pPr>
              <w:pStyle w:val="TableParagraph"/>
              <w:rPr>
                <w:rFonts w:ascii="Times New Roman"/>
                <w:sz w:val="18"/>
              </w:rPr>
            </w:pPr>
          </w:p>
        </w:tc>
        <w:tc>
          <w:tcPr>
            <w:tcW w:w="2750" w:type="dxa"/>
            <w:tcBorders>
              <w:top w:val="single" w:sz="4" w:space="0" w:color="000000"/>
              <w:left w:val="single" w:sz="4" w:space="0" w:color="000000"/>
              <w:bottom w:val="nil"/>
              <w:right w:val="single" w:sz="4" w:space="0" w:color="000000"/>
            </w:tcBorders>
          </w:tcPr>
          <w:p w14:paraId="57BFD51B" w14:textId="77777777" w:rsidR="00C47BC8" w:rsidRDefault="00606574">
            <w:pPr>
              <w:pStyle w:val="TableParagraph"/>
              <w:spacing w:line="140" w:lineRule="exact"/>
              <w:ind w:left="105"/>
              <w:rPr>
                <w:b/>
                <w:sz w:val="14"/>
              </w:rPr>
            </w:pPr>
            <w:r>
              <w:rPr>
                <w:b/>
                <w:spacing w:val="-2"/>
                <w:sz w:val="12"/>
              </w:rPr>
              <w:t>Descrizione dei PAI</w:t>
            </w:r>
          </w:p>
        </w:tc>
        <w:tc>
          <w:tcPr>
            <w:tcW w:w="4310" w:type="dxa"/>
            <w:gridSpan w:val="4"/>
            <w:tcBorders>
              <w:top w:val="single" w:sz="4" w:space="0" w:color="000000"/>
              <w:left w:val="single" w:sz="4" w:space="0" w:color="000000"/>
              <w:bottom w:val="single" w:sz="4" w:space="0" w:color="000000"/>
              <w:right w:val="single" w:sz="4" w:space="0" w:color="000000"/>
            </w:tcBorders>
          </w:tcPr>
          <w:p w14:paraId="755F4299" w14:textId="77777777" w:rsidR="00C47BC8" w:rsidRDefault="00606574">
            <w:pPr>
              <w:pStyle w:val="TableParagraph"/>
              <w:spacing w:line="140" w:lineRule="exact"/>
              <w:ind w:left="970"/>
              <w:rPr>
                <w:b/>
                <w:sz w:val="14"/>
              </w:rPr>
            </w:pPr>
            <w:r>
              <w:rPr>
                <w:b/>
                <w:sz w:val="12"/>
              </w:rPr>
              <w:t>Criteri di selezione dell’Indice di Riferimento</w:t>
            </w:r>
          </w:p>
        </w:tc>
        <w:tc>
          <w:tcPr>
            <w:tcW w:w="345" w:type="dxa"/>
            <w:vMerge w:val="restart"/>
            <w:tcBorders>
              <w:top w:val="nil"/>
              <w:left w:val="single" w:sz="4" w:space="0" w:color="000000"/>
            </w:tcBorders>
          </w:tcPr>
          <w:p w14:paraId="628AE6F5" w14:textId="77777777" w:rsidR="00C47BC8" w:rsidRDefault="00C47BC8">
            <w:pPr>
              <w:pStyle w:val="TableParagraph"/>
              <w:rPr>
                <w:rFonts w:ascii="Times New Roman"/>
                <w:sz w:val="18"/>
              </w:rPr>
            </w:pPr>
          </w:p>
        </w:tc>
      </w:tr>
      <w:tr w:rsidR="00C47BC8" w14:paraId="79B83B6D" w14:textId="77777777">
        <w:trPr>
          <w:trHeight w:val="1127"/>
        </w:trPr>
        <w:tc>
          <w:tcPr>
            <w:tcW w:w="2440" w:type="dxa"/>
            <w:vMerge/>
            <w:tcBorders>
              <w:top w:val="nil"/>
            </w:tcBorders>
          </w:tcPr>
          <w:p w14:paraId="60F461E4" w14:textId="77777777" w:rsidR="00C47BC8" w:rsidRDefault="00C47BC8">
            <w:pPr>
              <w:rPr>
                <w:sz w:val="2"/>
                <w:szCs w:val="2"/>
              </w:rPr>
            </w:pPr>
          </w:p>
        </w:tc>
        <w:tc>
          <w:tcPr>
            <w:tcW w:w="408" w:type="dxa"/>
            <w:vMerge/>
            <w:tcBorders>
              <w:top w:val="nil"/>
            </w:tcBorders>
          </w:tcPr>
          <w:p w14:paraId="1A5C584C" w14:textId="77777777" w:rsidR="00C47BC8" w:rsidRDefault="00C47BC8">
            <w:pPr>
              <w:rPr>
                <w:sz w:val="2"/>
                <w:szCs w:val="2"/>
              </w:rPr>
            </w:pPr>
          </w:p>
        </w:tc>
        <w:tc>
          <w:tcPr>
            <w:tcW w:w="113" w:type="dxa"/>
            <w:vMerge/>
            <w:tcBorders>
              <w:top w:val="nil"/>
              <w:right w:val="single" w:sz="4" w:space="0" w:color="000000"/>
            </w:tcBorders>
          </w:tcPr>
          <w:p w14:paraId="63B427BC" w14:textId="77777777" w:rsidR="00C47BC8" w:rsidRDefault="00C47BC8">
            <w:pPr>
              <w:rPr>
                <w:sz w:val="2"/>
                <w:szCs w:val="2"/>
              </w:rPr>
            </w:pPr>
          </w:p>
        </w:tc>
        <w:tc>
          <w:tcPr>
            <w:tcW w:w="988" w:type="dxa"/>
            <w:vMerge/>
            <w:tcBorders>
              <w:top w:val="nil"/>
              <w:left w:val="single" w:sz="4" w:space="0" w:color="000000"/>
              <w:bottom w:val="single" w:sz="4" w:space="0" w:color="000000"/>
              <w:right w:val="single" w:sz="4" w:space="0" w:color="000000"/>
            </w:tcBorders>
          </w:tcPr>
          <w:p w14:paraId="1165461E" w14:textId="77777777" w:rsidR="00C47BC8" w:rsidRDefault="00C47BC8">
            <w:pPr>
              <w:rPr>
                <w:sz w:val="2"/>
                <w:szCs w:val="2"/>
              </w:rPr>
            </w:pPr>
          </w:p>
        </w:tc>
        <w:tc>
          <w:tcPr>
            <w:tcW w:w="2750" w:type="dxa"/>
            <w:tcBorders>
              <w:top w:val="nil"/>
              <w:left w:val="single" w:sz="4" w:space="0" w:color="000000"/>
              <w:bottom w:val="single" w:sz="4" w:space="0" w:color="000000"/>
              <w:right w:val="single" w:sz="4" w:space="0" w:color="000000"/>
            </w:tcBorders>
          </w:tcPr>
          <w:p w14:paraId="753FB92C" w14:textId="77777777" w:rsidR="00C47BC8" w:rsidRDefault="00C47BC8">
            <w:pPr>
              <w:pStyle w:val="TableParagraph"/>
              <w:rPr>
                <w:rFonts w:ascii="Times New Roman"/>
                <w:sz w:val="18"/>
              </w:rPr>
            </w:pPr>
          </w:p>
        </w:tc>
        <w:tc>
          <w:tcPr>
            <w:tcW w:w="1174" w:type="dxa"/>
            <w:tcBorders>
              <w:top w:val="single" w:sz="4" w:space="0" w:color="000000"/>
              <w:left w:val="single" w:sz="4" w:space="0" w:color="000000"/>
              <w:bottom w:val="single" w:sz="4" w:space="0" w:color="000000"/>
              <w:right w:val="single" w:sz="4" w:space="0" w:color="000000"/>
            </w:tcBorders>
          </w:tcPr>
          <w:p w14:paraId="28AFC9BE" w14:textId="77777777" w:rsidR="00C47BC8" w:rsidRDefault="00606574">
            <w:pPr>
              <w:pStyle w:val="TableParagraph"/>
              <w:tabs>
                <w:tab w:val="left" w:pos="604"/>
              </w:tabs>
              <w:ind w:left="105" w:right="98"/>
              <w:rPr>
                <w:b/>
                <w:sz w:val="14"/>
              </w:rPr>
            </w:pPr>
            <w:r>
              <w:rPr>
                <w:b/>
                <w:sz w:val="12"/>
              </w:rPr>
              <w:t>Esclusione degli emittenti sulla base di</w:t>
            </w:r>
            <w:r>
              <w:rPr>
                <w:b/>
                <w:sz w:val="12"/>
              </w:rPr>
              <w:tab/>
            </w:r>
            <w:r>
              <w:rPr>
                <w:b/>
                <w:spacing w:val="-2"/>
                <w:sz w:val="12"/>
              </w:rPr>
              <w:t>determinati criteri ambientali (elencati sopra)</w:t>
            </w:r>
          </w:p>
        </w:tc>
        <w:tc>
          <w:tcPr>
            <w:tcW w:w="1019" w:type="dxa"/>
            <w:tcBorders>
              <w:top w:val="single" w:sz="4" w:space="0" w:color="000000"/>
              <w:left w:val="single" w:sz="4" w:space="0" w:color="000000"/>
              <w:bottom w:val="single" w:sz="4" w:space="0" w:color="000000"/>
              <w:right w:val="single" w:sz="4" w:space="0" w:color="000000"/>
            </w:tcBorders>
          </w:tcPr>
          <w:p w14:paraId="7ADB4221" w14:textId="77777777" w:rsidR="00C47BC8" w:rsidRDefault="00606574">
            <w:pPr>
              <w:pStyle w:val="TableParagraph"/>
              <w:ind w:left="105" w:right="99"/>
              <w:rPr>
                <w:b/>
                <w:sz w:val="14"/>
              </w:rPr>
            </w:pPr>
            <w:r>
              <w:rPr>
                <w:b/>
                <w:sz w:val="12"/>
              </w:rPr>
              <w:t>Esclusione degli emittenti sulla base di un</w:t>
            </w:r>
          </w:p>
          <w:p w14:paraId="4884F076" w14:textId="77777777" w:rsidR="00C47BC8" w:rsidRDefault="00606574">
            <w:pPr>
              <w:pStyle w:val="TableParagraph"/>
              <w:ind w:left="105" w:right="99"/>
              <w:rPr>
                <w:b/>
                <w:sz w:val="14"/>
              </w:rPr>
            </w:pPr>
            <w:r>
              <w:rPr>
                <w:b/>
                <w:spacing w:val="-2"/>
                <w:sz w:val="12"/>
              </w:rPr>
              <w:t>controversia</w:t>
            </w:r>
          </w:p>
        </w:tc>
        <w:tc>
          <w:tcPr>
            <w:tcW w:w="1020" w:type="dxa"/>
            <w:tcBorders>
              <w:top w:val="single" w:sz="4" w:space="0" w:color="000000"/>
              <w:left w:val="single" w:sz="4" w:space="0" w:color="000000"/>
              <w:bottom w:val="single" w:sz="4" w:space="0" w:color="000000"/>
              <w:right w:val="single" w:sz="4" w:space="0" w:color="000000"/>
            </w:tcBorders>
          </w:tcPr>
          <w:p w14:paraId="2F09BE1A" w14:textId="77777777" w:rsidR="00C47BC8" w:rsidRDefault="00606574">
            <w:pPr>
              <w:pStyle w:val="TableParagraph"/>
              <w:ind w:left="103" w:right="101"/>
              <w:jc w:val="both"/>
              <w:rPr>
                <w:b/>
                <w:sz w:val="14"/>
              </w:rPr>
            </w:pPr>
            <w:r>
              <w:rPr>
                <w:b/>
                <w:spacing w:val="-2"/>
                <w:sz w:val="12"/>
              </w:rPr>
              <w:t>Esclusione degli  emittenti</w:t>
            </w:r>
          </w:p>
          <w:p w14:paraId="23CEC01E" w14:textId="77777777" w:rsidR="00C47BC8" w:rsidRDefault="00606574">
            <w:pPr>
              <w:pStyle w:val="TableParagraph"/>
              <w:tabs>
                <w:tab w:val="left" w:pos="828"/>
              </w:tabs>
              <w:ind w:left="103"/>
              <w:jc w:val="both"/>
              <w:rPr>
                <w:b/>
                <w:sz w:val="14"/>
              </w:rPr>
            </w:pPr>
            <w:r>
              <w:rPr>
                <w:b/>
                <w:spacing w:val="-4"/>
                <w:sz w:val="12"/>
              </w:rPr>
              <w:t>con</w:t>
            </w:r>
            <w:r>
              <w:rPr>
                <w:b/>
                <w:sz w:val="12"/>
              </w:rPr>
              <w:tab/>
            </w:r>
            <w:r>
              <w:rPr>
                <w:b/>
                <w:spacing w:val="-10"/>
                <w:sz w:val="12"/>
              </w:rPr>
              <w:t>un</w:t>
            </w:r>
          </w:p>
          <w:p w14:paraId="4DACFC1D" w14:textId="77777777" w:rsidR="00C47BC8" w:rsidRDefault="00606574">
            <w:pPr>
              <w:pStyle w:val="TableParagraph"/>
              <w:ind w:left="103" w:right="101"/>
              <w:jc w:val="both"/>
              <w:rPr>
                <w:b/>
                <w:sz w:val="14"/>
              </w:rPr>
            </w:pPr>
            <w:r>
              <w:rPr>
                <w:b/>
                <w:sz w:val="12"/>
              </w:rPr>
              <w:t>rating di controversia ESG grave</w:t>
            </w:r>
          </w:p>
        </w:tc>
        <w:tc>
          <w:tcPr>
            <w:tcW w:w="1097" w:type="dxa"/>
            <w:tcBorders>
              <w:top w:val="single" w:sz="4" w:space="0" w:color="000000"/>
              <w:left w:val="single" w:sz="4" w:space="0" w:color="000000"/>
              <w:bottom w:val="single" w:sz="4" w:space="0" w:color="000000"/>
              <w:right w:val="single" w:sz="4" w:space="0" w:color="000000"/>
            </w:tcBorders>
          </w:tcPr>
          <w:p w14:paraId="0050CDBD" w14:textId="77777777" w:rsidR="00C47BC8" w:rsidRDefault="00606574">
            <w:pPr>
              <w:pStyle w:val="TableParagraph"/>
              <w:tabs>
                <w:tab w:val="left" w:pos="849"/>
              </w:tabs>
              <w:ind w:left="101" w:right="103"/>
              <w:rPr>
                <w:b/>
                <w:sz w:val="14"/>
              </w:rPr>
            </w:pPr>
            <w:r>
              <w:rPr>
                <w:b/>
                <w:sz w:val="12"/>
              </w:rPr>
              <w:t>Esclusione degli emittenti per i quali è stato accertato un qualsiasi legame</w:t>
            </w:r>
            <w:r>
              <w:rPr>
                <w:b/>
                <w:sz w:val="12"/>
              </w:rPr>
              <w:tab/>
            </w:r>
            <w:r>
              <w:rPr>
                <w:b/>
                <w:spacing w:val="-5"/>
                <w:sz w:val="12"/>
              </w:rPr>
              <w:t>con</w:t>
            </w:r>
          </w:p>
          <w:p w14:paraId="36F18009" w14:textId="77777777" w:rsidR="00C47BC8" w:rsidRDefault="00606574">
            <w:pPr>
              <w:pStyle w:val="TableParagraph"/>
              <w:spacing w:line="160" w:lineRule="atLeast"/>
              <w:ind w:left="101" w:right="103"/>
              <w:rPr>
                <w:b/>
                <w:sz w:val="14"/>
              </w:rPr>
            </w:pPr>
            <w:r>
              <w:rPr>
                <w:b/>
                <w:spacing w:val="-2"/>
                <w:sz w:val="12"/>
              </w:rPr>
              <w:t>armi controverse</w:t>
            </w:r>
          </w:p>
        </w:tc>
        <w:tc>
          <w:tcPr>
            <w:tcW w:w="345" w:type="dxa"/>
            <w:vMerge/>
            <w:tcBorders>
              <w:top w:val="nil"/>
              <w:left w:val="single" w:sz="4" w:space="0" w:color="000000"/>
            </w:tcBorders>
          </w:tcPr>
          <w:p w14:paraId="69C9B1D6" w14:textId="77777777" w:rsidR="00C47BC8" w:rsidRDefault="00C47BC8">
            <w:pPr>
              <w:rPr>
                <w:sz w:val="2"/>
                <w:szCs w:val="2"/>
              </w:rPr>
            </w:pPr>
          </w:p>
        </w:tc>
      </w:tr>
      <w:tr w:rsidR="00C47BC8" w14:paraId="149ABABD" w14:textId="77777777">
        <w:trPr>
          <w:trHeight w:val="209"/>
        </w:trPr>
        <w:tc>
          <w:tcPr>
            <w:tcW w:w="2440" w:type="dxa"/>
            <w:vMerge/>
            <w:tcBorders>
              <w:top w:val="nil"/>
            </w:tcBorders>
          </w:tcPr>
          <w:p w14:paraId="2BCCB8E3" w14:textId="77777777" w:rsidR="00C47BC8" w:rsidRDefault="00C47BC8">
            <w:pPr>
              <w:rPr>
                <w:sz w:val="2"/>
                <w:szCs w:val="2"/>
              </w:rPr>
            </w:pPr>
          </w:p>
        </w:tc>
        <w:tc>
          <w:tcPr>
            <w:tcW w:w="408" w:type="dxa"/>
            <w:vMerge/>
            <w:tcBorders>
              <w:top w:val="nil"/>
            </w:tcBorders>
          </w:tcPr>
          <w:p w14:paraId="67DDB2B5" w14:textId="77777777" w:rsidR="00C47BC8" w:rsidRDefault="00C47BC8">
            <w:pPr>
              <w:rPr>
                <w:sz w:val="2"/>
                <w:szCs w:val="2"/>
              </w:rPr>
            </w:pPr>
          </w:p>
        </w:tc>
        <w:tc>
          <w:tcPr>
            <w:tcW w:w="113" w:type="dxa"/>
            <w:vMerge/>
            <w:tcBorders>
              <w:top w:val="nil"/>
              <w:right w:val="single" w:sz="4" w:space="0" w:color="000000"/>
            </w:tcBorders>
          </w:tcPr>
          <w:p w14:paraId="3F1DA637" w14:textId="77777777" w:rsidR="00C47BC8" w:rsidRDefault="00C47BC8">
            <w:pPr>
              <w:rPr>
                <w:sz w:val="2"/>
                <w:szCs w:val="2"/>
              </w:rPr>
            </w:pPr>
          </w:p>
        </w:tc>
        <w:tc>
          <w:tcPr>
            <w:tcW w:w="988" w:type="dxa"/>
            <w:vMerge w:val="restart"/>
            <w:tcBorders>
              <w:top w:val="single" w:sz="4" w:space="0" w:color="000000"/>
              <w:left w:val="single" w:sz="4" w:space="0" w:color="000000"/>
              <w:bottom w:val="nil"/>
              <w:right w:val="single" w:sz="4" w:space="0" w:color="000000"/>
            </w:tcBorders>
          </w:tcPr>
          <w:p w14:paraId="6F7E6B5D" w14:textId="77777777" w:rsidR="00C47BC8" w:rsidRDefault="00606574">
            <w:pPr>
              <w:pStyle w:val="TableParagraph"/>
              <w:ind w:left="107" w:right="93"/>
              <w:rPr>
                <w:sz w:val="14"/>
              </w:rPr>
            </w:pPr>
            <w:r>
              <w:rPr>
                <w:spacing w:val="-2"/>
                <w:sz w:val="12"/>
              </w:rPr>
              <w:t>Emissioni di gas serra (GHG)</w:t>
            </w:r>
          </w:p>
          <w:p w14:paraId="5FE9B164" w14:textId="77777777" w:rsidR="00C47BC8" w:rsidRDefault="00606574">
            <w:pPr>
              <w:pStyle w:val="TableParagraph"/>
              <w:spacing w:line="161" w:lineRule="exact"/>
              <w:ind w:left="107"/>
              <w:rPr>
                <w:sz w:val="14"/>
              </w:rPr>
            </w:pPr>
            <w:r>
              <w:rPr>
                <w:spacing w:val="-2"/>
                <w:sz w:val="12"/>
              </w:rPr>
              <w:t>emissioni</w:t>
            </w:r>
          </w:p>
        </w:tc>
        <w:tc>
          <w:tcPr>
            <w:tcW w:w="2750" w:type="dxa"/>
            <w:tcBorders>
              <w:top w:val="single" w:sz="4" w:space="0" w:color="000000"/>
              <w:left w:val="single" w:sz="4" w:space="0" w:color="000000"/>
              <w:bottom w:val="single" w:sz="4" w:space="0" w:color="000000"/>
              <w:right w:val="single" w:sz="4" w:space="0" w:color="000000"/>
            </w:tcBorders>
          </w:tcPr>
          <w:p w14:paraId="234724AB" w14:textId="77777777" w:rsidR="00C47BC8" w:rsidRDefault="00606574">
            <w:pPr>
              <w:pStyle w:val="TableParagraph"/>
              <w:spacing w:line="160" w:lineRule="exact"/>
              <w:ind w:left="105"/>
              <w:rPr>
                <w:sz w:val="14"/>
              </w:rPr>
            </w:pPr>
            <w:r>
              <w:rPr>
                <w:sz w:val="12"/>
              </w:rPr>
              <w:t>1.(a) Emissioni di GHG (Scope 1/2)</w:t>
            </w:r>
          </w:p>
        </w:tc>
        <w:tc>
          <w:tcPr>
            <w:tcW w:w="1174" w:type="dxa"/>
            <w:tcBorders>
              <w:top w:val="single" w:sz="4" w:space="0" w:color="000000"/>
              <w:left w:val="single" w:sz="4" w:space="0" w:color="000000"/>
              <w:bottom w:val="single" w:sz="4" w:space="0" w:color="000000"/>
              <w:right w:val="single" w:sz="4" w:space="0" w:color="000000"/>
            </w:tcBorders>
          </w:tcPr>
          <w:p w14:paraId="7B5677B4" w14:textId="77777777" w:rsidR="00C47BC8" w:rsidRDefault="00C47BC8">
            <w:pPr>
              <w:pStyle w:val="TableParagraph"/>
              <w:rPr>
                <w:rFonts w:ascii="Times New Roman"/>
                <w:sz w:val="14"/>
              </w:rPr>
            </w:pPr>
          </w:p>
        </w:tc>
        <w:tc>
          <w:tcPr>
            <w:tcW w:w="1019" w:type="dxa"/>
            <w:tcBorders>
              <w:top w:val="single" w:sz="4" w:space="0" w:color="000000"/>
              <w:left w:val="single" w:sz="4" w:space="0" w:color="000000"/>
              <w:bottom w:val="single" w:sz="4" w:space="0" w:color="000000"/>
              <w:right w:val="single" w:sz="4" w:space="0" w:color="000000"/>
            </w:tcBorders>
          </w:tcPr>
          <w:p w14:paraId="3F3B2E73" w14:textId="77777777" w:rsidR="00C47BC8" w:rsidRDefault="00C47BC8">
            <w:pPr>
              <w:pStyle w:val="TableParagraph"/>
              <w:rPr>
                <w:rFonts w:ascii="Times New Roman"/>
                <w:sz w:val="14"/>
              </w:rPr>
            </w:pPr>
          </w:p>
        </w:tc>
        <w:tc>
          <w:tcPr>
            <w:tcW w:w="1020" w:type="dxa"/>
            <w:tcBorders>
              <w:top w:val="single" w:sz="4" w:space="0" w:color="000000"/>
              <w:left w:val="single" w:sz="4" w:space="0" w:color="000000"/>
              <w:bottom w:val="single" w:sz="4" w:space="0" w:color="000000"/>
              <w:right w:val="single" w:sz="4" w:space="0" w:color="000000"/>
            </w:tcBorders>
          </w:tcPr>
          <w:p w14:paraId="5C71C792" w14:textId="77777777" w:rsidR="00C47BC8" w:rsidRDefault="00C47BC8">
            <w:pPr>
              <w:pStyle w:val="TableParagraph"/>
              <w:rPr>
                <w:rFonts w:ascii="Times New Roman"/>
                <w:sz w:val="14"/>
              </w:rPr>
            </w:pPr>
          </w:p>
        </w:tc>
        <w:tc>
          <w:tcPr>
            <w:tcW w:w="1097" w:type="dxa"/>
            <w:tcBorders>
              <w:top w:val="single" w:sz="4" w:space="0" w:color="000000"/>
              <w:left w:val="single" w:sz="4" w:space="0" w:color="000000"/>
              <w:bottom w:val="single" w:sz="4" w:space="0" w:color="000000"/>
              <w:right w:val="single" w:sz="4" w:space="0" w:color="000000"/>
            </w:tcBorders>
          </w:tcPr>
          <w:p w14:paraId="1402050F" w14:textId="77777777" w:rsidR="00C47BC8" w:rsidRDefault="00C47BC8">
            <w:pPr>
              <w:pStyle w:val="TableParagraph"/>
              <w:rPr>
                <w:rFonts w:ascii="Times New Roman"/>
                <w:sz w:val="14"/>
              </w:rPr>
            </w:pPr>
          </w:p>
        </w:tc>
        <w:tc>
          <w:tcPr>
            <w:tcW w:w="345" w:type="dxa"/>
            <w:vMerge/>
            <w:tcBorders>
              <w:top w:val="nil"/>
              <w:left w:val="single" w:sz="4" w:space="0" w:color="000000"/>
            </w:tcBorders>
          </w:tcPr>
          <w:p w14:paraId="2C88BBD6" w14:textId="77777777" w:rsidR="00C47BC8" w:rsidRDefault="00C47BC8">
            <w:pPr>
              <w:rPr>
                <w:sz w:val="2"/>
                <w:szCs w:val="2"/>
              </w:rPr>
            </w:pPr>
          </w:p>
        </w:tc>
      </w:tr>
      <w:tr w:rsidR="00C47BC8" w14:paraId="7B7C3A3F" w14:textId="77777777">
        <w:trPr>
          <w:trHeight w:val="160"/>
        </w:trPr>
        <w:tc>
          <w:tcPr>
            <w:tcW w:w="2440" w:type="dxa"/>
            <w:vMerge/>
            <w:tcBorders>
              <w:top w:val="nil"/>
            </w:tcBorders>
          </w:tcPr>
          <w:p w14:paraId="0EFAAEC4" w14:textId="77777777" w:rsidR="00C47BC8" w:rsidRDefault="00C47BC8">
            <w:pPr>
              <w:rPr>
                <w:sz w:val="2"/>
                <w:szCs w:val="2"/>
              </w:rPr>
            </w:pPr>
          </w:p>
        </w:tc>
        <w:tc>
          <w:tcPr>
            <w:tcW w:w="408" w:type="dxa"/>
            <w:vMerge/>
            <w:tcBorders>
              <w:top w:val="nil"/>
            </w:tcBorders>
          </w:tcPr>
          <w:p w14:paraId="420F6155" w14:textId="77777777" w:rsidR="00C47BC8" w:rsidRDefault="00C47BC8">
            <w:pPr>
              <w:rPr>
                <w:sz w:val="2"/>
                <w:szCs w:val="2"/>
              </w:rPr>
            </w:pPr>
          </w:p>
        </w:tc>
        <w:tc>
          <w:tcPr>
            <w:tcW w:w="113" w:type="dxa"/>
            <w:vMerge/>
            <w:tcBorders>
              <w:top w:val="nil"/>
              <w:right w:val="single" w:sz="4" w:space="0" w:color="000000"/>
            </w:tcBorders>
          </w:tcPr>
          <w:p w14:paraId="6315C255" w14:textId="77777777" w:rsidR="00C47BC8" w:rsidRDefault="00C47BC8">
            <w:pPr>
              <w:rPr>
                <w:sz w:val="2"/>
                <w:szCs w:val="2"/>
              </w:rPr>
            </w:pPr>
          </w:p>
        </w:tc>
        <w:tc>
          <w:tcPr>
            <w:tcW w:w="988" w:type="dxa"/>
            <w:vMerge/>
            <w:tcBorders>
              <w:top w:val="nil"/>
              <w:left w:val="single" w:sz="4" w:space="0" w:color="000000"/>
              <w:bottom w:val="nil"/>
              <w:right w:val="single" w:sz="4" w:space="0" w:color="000000"/>
            </w:tcBorders>
          </w:tcPr>
          <w:p w14:paraId="54CD2985" w14:textId="77777777" w:rsidR="00C47BC8" w:rsidRDefault="00C47BC8">
            <w:pPr>
              <w:rPr>
                <w:sz w:val="2"/>
                <w:szCs w:val="2"/>
              </w:rPr>
            </w:pPr>
          </w:p>
        </w:tc>
        <w:tc>
          <w:tcPr>
            <w:tcW w:w="2750" w:type="dxa"/>
            <w:tcBorders>
              <w:top w:val="single" w:sz="4" w:space="0" w:color="000000"/>
              <w:left w:val="single" w:sz="4" w:space="0" w:color="000000"/>
              <w:bottom w:val="single" w:sz="4" w:space="0" w:color="000000"/>
              <w:right w:val="single" w:sz="4" w:space="0" w:color="000000"/>
            </w:tcBorders>
          </w:tcPr>
          <w:p w14:paraId="5DBEA9B5" w14:textId="77777777" w:rsidR="00C47BC8" w:rsidRDefault="00606574">
            <w:pPr>
              <w:pStyle w:val="TableParagraph"/>
              <w:spacing w:line="140" w:lineRule="exact"/>
              <w:ind w:left="105"/>
              <w:rPr>
                <w:sz w:val="14"/>
              </w:rPr>
            </w:pPr>
            <w:r>
              <w:rPr>
                <w:sz w:val="12"/>
              </w:rPr>
              <w:t>1.(b) Emissioni di gas serra (Scope 3)</w:t>
            </w:r>
          </w:p>
        </w:tc>
        <w:tc>
          <w:tcPr>
            <w:tcW w:w="1174" w:type="dxa"/>
            <w:tcBorders>
              <w:top w:val="single" w:sz="4" w:space="0" w:color="000000"/>
              <w:left w:val="single" w:sz="4" w:space="0" w:color="000000"/>
              <w:bottom w:val="single" w:sz="4" w:space="0" w:color="000000"/>
              <w:right w:val="single" w:sz="4" w:space="0" w:color="000000"/>
            </w:tcBorders>
          </w:tcPr>
          <w:p w14:paraId="76816F26" w14:textId="77777777" w:rsidR="00C47BC8" w:rsidRDefault="00C47BC8">
            <w:pPr>
              <w:pStyle w:val="TableParagraph"/>
              <w:rPr>
                <w:rFonts w:ascii="Times New Roman"/>
                <w:sz w:val="10"/>
              </w:rPr>
            </w:pPr>
          </w:p>
        </w:tc>
        <w:tc>
          <w:tcPr>
            <w:tcW w:w="1019" w:type="dxa"/>
            <w:tcBorders>
              <w:top w:val="single" w:sz="4" w:space="0" w:color="000000"/>
              <w:left w:val="single" w:sz="4" w:space="0" w:color="000000"/>
              <w:bottom w:val="single" w:sz="4" w:space="0" w:color="000000"/>
              <w:right w:val="single" w:sz="4" w:space="0" w:color="000000"/>
            </w:tcBorders>
          </w:tcPr>
          <w:p w14:paraId="5E92024F" w14:textId="77777777" w:rsidR="00C47BC8" w:rsidRDefault="00C47BC8">
            <w:pPr>
              <w:pStyle w:val="TableParagraph"/>
              <w:rPr>
                <w:rFonts w:ascii="Times New Roman"/>
                <w:sz w:val="10"/>
              </w:rPr>
            </w:pPr>
          </w:p>
        </w:tc>
        <w:tc>
          <w:tcPr>
            <w:tcW w:w="1020" w:type="dxa"/>
            <w:tcBorders>
              <w:top w:val="single" w:sz="4" w:space="0" w:color="000000"/>
              <w:left w:val="single" w:sz="4" w:space="0" w:color="000000"/>
              <w:bottom w:val="single" w:sz="4" w:space="0" w:color="000000"/>
              <w:right w:val="single" w:sz="4" w:space="0" w:color="000000"/>
            </w:tcBorders>
          </w:tcPr>
          <w:p w14:paraId="226F7422" w14:textId="77777777" w:rsidR="00C47BC8" w:rsidRDefault="00C47BC8">
            <w:pPr>
              <w:pStyle w:val="TableParagraph"/>
              <w:rPr>
                <w:rFonts w:ascii="Times New Roman"/>
                <w:sz w:val="10"/>
              </w:rPr>
            </w:pPr>
          </w:p>
        </w:tc>
        <w:tc>
          <w:tcPr>
            <w:tcW w:w="1097" w:type="dxa"/>
            <w:tcBorders>
              <w:top w:val="single" w:sz="4" w:space="0" w:color="000000"/>
              <w:left w:val="single" w:sz="4" w:space="0" w:color="000000"/>
              <w:bottom w:val="single" w:sz="4" w:space="0" w:color="000000"/>
              <w:right w:val="single" w:sz="4" w:space="0" w:color="000000"/>
            </w:tcBorders>
          </w:tcPr>
          <w:p w14:paraId="28C6F141" w14:textId="77777777" w:rsidR="00C47BC8" w:rsidRDefault="00C47BC8">
            <w:pPr>
              <w:pStyle w:val="TableParagraph"/>
              <w:rPr>
                <w:rFonts w:ascii="Times New Roman"/>
                <w:sz w:val="10"/>
              </w:rPr>
            </w:pPr>
          </w:p>
        </w:tc>
        <w:tc>
          <w:tcPr>
            <w:tcW w:w="345" w:type="dxa"/>
            <w:vMerge/>
            <w:tcBorders>
              <w:top w:val="nil"/>
              <w:left w:val="single" w:sz="4" w:space="0" w:color="000000"/>
            </w:tcBorders>
          </w:tcPr>
          <w:p w14:paraId="7322073A" w14:textId="77777777" w:rsidR="00C47BC8" w:rsidRDefault="00C47BC8">
            <w:pPr>
              <w:rPr>
                <w:sz w:val="2"/>
                <w:szCs w:val="2"/>
              </w:rPr>
            </w:pPr>
          </w:p>
        </w:tc>
      </w:tr>
      <w:tr w:rsidR="00C47BC8" w14:paraId="49EF6850" w14:textId="77777777">
        <w:trPr>
          <w:trHeight w:val="161"/>
        </w:trPr>
        <w:tc>
          <w:tcPr>
            <w:tcW w:w="2440" w:type="dxa"/>
            <w:vMerge/>
            <w:tcBorders>
              <w:top w:val="nil"/>
            </w:tcBorders>
          </w:tcPr>
          <w:p w14:paraId="67D37E97" w14:textId="77777777" w:rsidR="00C47BC8" w:rsidRDefault="00C47BC8">
            <w:pPr>
              <w:rPr>
                <w:sz w:val="2"/>
                <w:szCs w:val="2"/>
              </w:rPr>
            </w:pPr>
          </w:p>
        </w:tc>
        <w:tc>
          <w:tcPr>
            <w:tcW w:w="408" w:type="dxa"/>
            <w:vMerge/>
            <w:tcBorders>
              <w:top w:val="nil"/>
            </w:tcBorders>
          </w:tcPr>
          <w:p w14:paraId="37AC62DD" w14:textId="77777777" w:rsidR="00C47BC8" w:rsidRDefault="00C47BC8">
            <w:pPr>
              <w:rPr>
                <w:sz w:val="2"/>
                <w:szCs w:val="2"/>
              </w:rPr>
            </w:pPr>
          </w:p>
        </w:tc>
        <w:tc>
          <w:tcPr>
            <w:tcW w:w="113" w:type="dxa"/>
            <w:vMerge/>
            <w:tcBorders>
              <w:top w:val="nil"/>
              <w:right w:val="single" w:sz="4" w:space="0" w:color="000000"/>
            </w:tcBorders>
          </w:tcPr>
          <w:p w14:paraId="6B59835C" w14:textId="77777777" w:rsidR="00C47BC8" w:rsidRDefault="00C47BC8">
            <w:pPr>
              <w:rPr>
                <w:sz w:val="2"/>
                <w:szCs w:val="2"/>
              </w:rPr>
            </w:pPr>
          </w:p>
        </w:tc>
        <w:tc>
          <w:tcPr>
            <w:tcW w:w="988" w:type="dxa"/>
            <w:vMerge/>
            <w:tcBorders>
              <w:top w:val="nil"/>
              <w:left w:val="single" w:sz="4" w:space="0" w:color="000000"/>
              <w:bottom w:val="nil"/>
              <w:right w:val="single" w:sz="4" w:space="0" w:color="000000"/>
            </w:tcBorders>
          </w:tcPr>
          <w:p w14:paraId="641160C6" w14:textId="77777777" w:rsidR="00C47BC8" w:rsidRDefault="00C47BC8">
            <w:pPr>
              <w:rPr>
                <w:sz w:val="2"/>
                <w:szCs w:val="2"/>
              </w:rPr>
            </w:pPr>
          </w:p>
        </w:tc>
        <w:tc>
          <w:tcPr>
            <w:tcW w:w="2750" w:type="dxa"/>
            <w:tcBorders>
              <w:top w:val="single" w:sz="4" w:space="0" w:color="000000"/>
              <w:left w:val="single" w:sz="4" w:space="0" w:color="000000"/>
              <w:bottom w:val="single" w:sz="4" w:space="0" w:color="000000"/>
              <w:right w:val="single" w:sz="4" w:space="0" w:color="000000"/>
            </w:tcBorders>
          </w:tcPr>
          <w:p w14:paraId="09BA6B9E" w14:textId="77777777" w:rsidR="00C47BC8" w:rsidRDefault="00606574">
            <w:pPr>
              <w:pStyle w:val="TableParagraph"/>
              <w:spacing w:line="141" w:lineRule="exact"/>
              <w:ind w:left="105"/>
              <w:rPr>
                <w:sz w:val="14"/>
              </w:rPr>
            </w:pPr>
            <w:r>
              <w:rPr>
                <w:sz w:val="12"/>
              </w:rPr>
              <w:t>2. Impronta di carbonio</w:t>
            </w:r>
          </w:p>
        </w:tc>
        <w:tc>
          <w:tcPr>
            <w:tcW w:w="1174" w:type="dxa"/>
            <w:tcBorders>
              <w:top w:val="single" w:sz="4" w:space="0" w:color="000000"/>
              <w:left w:val="single" w:sz="4" w:space="0" w:color="000000"/>
              <w:bottom w:val="single" w:sz="4" w:space="0" w:color="000000"/>
              <w:right w:val="single" w:sz="4" w:space="0" w:color="000000"/>
            </w:tcBorders>
          </w:tcPr>
          <w:p w14:paraId="4FBF3E26" w14:textId="77777777" w:rsidR="00C47BC8" w:rsidRDefault="00C47BC8">
            <w:pPr>
              <w:pStyle w:val="TableParagraph"/>
              <w:rPr>
                <w:rFonts w:ascii="Times New Roman"/>
                <w:sz w:val="10"/>
              </w:rPr>
            </w:pPr>
          </w:p>
        </w:tc>
        <w:tc>
          <w:tcPr>
            <w:tcW w:w="1019" w:type="dxa"/>
            <w:tcBorders>
              <w:top w:val="single" w:sz="4" w:space="0" w:color="000000"/>
              <w:left w:val="single" w:sz="4" w:space="0" w:color="000000"/>
              <w:bottom w:val="single" w:sz="4" w:space="0" w:color="000000"/>
              <w:right w:val="single" w:sz="4" w:space="0" w:color="000000"/>
            </w:tcBorders>
          </w:tcPr>
          <w:p w14:paraId="76C02905" w14:textId="77777777" w:rsidR="00C47BC8" w:rsidRDefault="00C47BC8">
            <w:pPr>
              <w:pStyle w:val="TableParagraph"/>
              <w:rPr>
                <w:rFonts w:ascii="Times New Roman"/>
                <w:sz w:val="10"/>
              </w:rPr>
            </w:pPr>
          </w:p>
        </w:tc>
        <w:tc>
          <w:tcPr>
            <w:tcW w:w="1020" w:type="dxa"/>
            <w:tcBorders>
              <w:top w:val="single" w:sz="4" w:space="0" w:color="000000"/>
              <w:left w:val="single" w:sz="4" w:space="0" w:color="000000"/>
              <w:bottom w:val="single" w:sz="4" w:space="0" w:color="000000"/>
              <w:right w:val="single" w:sz="4" w:space="0" w:color="000000"/>
            </w:tcBorders>
          </w:tcPr>
          <w:p w14:paraId="44F29043" w14:textId="77777777" w:rsidR="00C47BC8" w:rsidRDefault="00C47BC8">
            <w:pPr>
              <w:pStyle w:val="TableParagraph"/>
              <w:rPr>
                <w:rFonts w:ascii="Times New Roman"/>
                <w:sz w:val="10"/>
              </w:rPr>
            </w:pPr>
          </w:p>
        </w:tc>
        <w:tc>
          <w:tcPr>
            <w:tcW w:w="1097" w:type="dxa"/>
            <w:tcBorders>
              <w:top w:val="single" w:sz="4" w:space="0" w:color="000000"/>
              <w:left w:val="single" w:sz="4" w:space="0" w:color="000000"/>
              <w:bottom w:val="single" w:sz="4" w:space="0" w:color="000000"/>
              <w:right w:val="single" w:sz="4" w:space="0" w:color="000000"/>
            </w:tcBorders>
          </w:tcPr>
          <w:p w14:paraId="28954677" w14:textId="77777777" w:rsidR="00C47BC8" w:rsidRDefault="00C47BC8">
            <w:pPr>
              <w:pStyle w:val="TableParagraph"/>
              <w:rPr>
                <w:rFonts w:ascii="Times New Roman"/>
                <w:sz w:val="10"/>
              </w:rPr>
            </w:pPr>
          </w:p>
        </w:tc>
        <w:tc>
          <w:tcPr>
            <w:tcW w:w="345" w:type="dxa"/>
            <w:vMerge/>
            <w:tcBorders>
              <w:top w:val="nil"/>
              <w:left w:val="single" w:sz="4" w:space="0" w:color="000000"/>
            </w:tcBorders>
          </w:tcPr>
          <w:p w14:paraId="01BCFAD5" w14:textId="77777777" w:rsidR="00C47BC8" w:rsidRDefault="00C47BC8">
            <w:pPr>
              <w:rPr>
                <w:sz w:val="2"/>
                <w:szCs w:val="2"/>
              </w:rPr>
            </w:pPr>
          </w:p>
        </w:tc>
      </w:tr>
      <w:tr w:rsidR="00C47BC8" w14:paraId="3DB63F3C" w14:textId="77777777">
        <w:trPr>
          <w:trHeight w:val="160"/>
        </w:trPr>
        <w:tc>
          <w:tcPr>
            <w:tcW w:w="2440" w:type="dxa"/>
            <w:vMerge/>
            <w:tcBorders>
              <w:top w:val="nil"/>
            </w:tcBorders>
          </w:tcPr>
          <w:p w14:paraId="0081A1FB" w14:textId="77777777" w:rsidR="00C47BC8" w:rsidRDefault="00C47BC8">
            <w:pPr>
              <w:rPr>
                <w:sz w:val="2"/>
                <w:szCs w:val="2"/>
              </w:rPr>
            </w:pPr>
          </w:p>
        </w:tc>
        <w:tc>
          <w:tcPr>
            <w:tcW w:w="408" w:type="dxa"/>
            <w:vMerge/>
            <w:tcBorders>
              <w:top w:val="nil"/>
            </w:tcBorders>
          </w:tcPr>
          <w:p w14:paraId="082FC74B" w14:textId="77777777" w:rsidR="00C47BC8" w:rsidRDefault="00C47BC8">
            <w:pPr>
              <w:rPr>
                <w:sz w:val="2"/>
                <w:szCs w:val="2"/>
              </w:rPr>
            </w:pPr>
          </w:p>
        </w:tc>
        <w:tc>
          <w:tcPr>
            <w:tcW w:w="113" w:type="dxa"/>
            <w:vMerge/>
            <w:tcBorders>
              <w:top w:val="nil"/>
              <w:right w:val="single" w:sz="4" w:space="0" w:color="000000"/>
            </w:tcBorders>
          </w:tcPr>
          <w:p w14:paraId="2BFD4910" w14:textId="77777777" w:rsidR="00C47BC8" w:rsidRDefault="00C47BC8">
            <w:pPr>
              <w:rPr>
                <w:sz w:val="2"/>
                <w:szCs w:val="2"/>
              </w:rPr>
            </w:pPr>
          </w:p>
        </w:tc>
        <w:tc>
          <w:tcPr>
            <w:tcW w:w="988" w:type="dxa"/>
            <w:tcBorders>
              <w:top w:val="nil"/>
              <w:left w:val="single" w:sz="4" w:space="0" w:color="000000"/>
              <w:bottom w:val="nil"/>
              <w:right w:val="single" w:sz="4" w:space="0" w:color="000000"/>
            </w:tcBorders>
          </w:tcPr>
          <w:p w14:paraId="2EE8AE5D" w14:textId="77777777" w:rsidR="00C47BC8" w:rsidRDefault="00C47BC8">
            <w:pPr>
              <w:pStyle w:val="TableParagraph"/>
              <w:rPr>
                <w:rFonts w:ascii="Times New Roman"/>
                <w:sz w:val="10"/>
              </w:rPr>
            </w:pPr>
          </w:p>
        </w:tc>
        <w:tc>
          <w:tcPr>
            <w:tcW w:w="2750" w:type="dxa"/>
            <w:tcBorders>
              <w:top w:val="single" w:sz="4" w:space="0" w:color="000000"/>
              <w:left w:val="single" w:sz="4" w:space="0" w:color="000000"/>
              <w:bottom w:val="single" w:sz="4" w:space="0" w:color="000000"/>
              <w:right w:val="single" w:sz="4" w:space="0" w:color="000000"/>
            </w:tcBorders>
          </w:tcPr>
          <w:p w14:paraId="2F75E2D1" w14:textId="77777777" w:rsidR="00C47BC8" w:rsidRDefault="00606574">
            <w:pPr>
              <w:pStyle w:val="TableParagraph"/>
              <w:spacing w:line="140" w:lineRule="exact"/>
              <w:ind w:left="105"/>
              <w:rPr>
                <w:sz w:val="14"/>
              </w:rPr>
            </w:pPr>
            <w:r>
              <w:rPr>
                <w:spacing w:val="-2"/>
                <w:sz w:val="12"/>
              </w:rPr>
              <w:t>3. Intensità di GHG</w:t>
            </w:r>
          </w:p>
        </w:tc>
        <w:tc>
          <w:tcPr>
            <w:tcW w:w="1174" w:type="dxa"/>
            <w:tcBorders>
              <w:top w:val="single" w:sz="4" w:space="0" w:color="000000"/>
              <w:left w:val="single" w:sz="4" w:space="0" w:color="000000"/>
              <w:bottom w:val="single" w:sz="4" w:space="0" w:color="000000"/>
              <w:right w:val="single" w:sz="4" w:space="0" w:color="000000"/>
            </w:tcBorders>
          </w:tcPr>
          <w:p w14:paraId="588B3085" w14:textId="77777777" w:rsidR="00C47BC8" w:rsidRDefault="00C47BC8">
            <w:pPr>
              <w:pStyle w:val="TableParagraph"/>
              <w:rPr>
                <w:rFonts w:ascii="Times New Roman"/>
                <w:sz w:val="10"/>
              </w:rPr>
            </w:pPr>
          </w:p>
        </w:tc>
        <w:tc>
          <w:tcPr>
            <w:tcW w:w="1019" w:type="dxa"/>
            <w:tcBorders>
              <w:top w:val="single" w:sz="4" w:space="0" w:color="000000"/>
              <w:left w:val="single" w:sz="4" w:space="0" w:color="000000"/>
              <w:bottom w:val="single" w:sz="4" w:space="0" w:color="000000"/>
              <w:right w:val="single" w:sz="4" w:space="0" w:color="000000"/>
            </w:tcBorders>
          </w:tcPr>
          <w:p w14:paraId="6ED15689" w14:textId="77777777" w:rsidR="00C47BC8" w:rsidRDefault="00C47BC8">
            <w:pPr>
              <w:pStyle w:val="TableParagraph"/>
              <w:rPr>
                <w:rFonts w:ascii="Times New Roman"/>
                <w:sz w:val="10"/>
              </w:rPr>
            </w:pPr>
          </w:p>
        </w:tc>
        <w:tc>
          <w:tcPr>
            <w:tcW w:w="1020" w:type="dxa"/>
            <w:tcBorders>
              <w:top w:val="single" w:sz="4" w:space="0" w:color="000000"/>
              <w:left w:val="single" w:sz="4" w:space="0" w:color="000000"/>
              <w:bottom w:val="single" w:sz="4" w:space="0" w:color="000000"/>
              <w:right w:val="single" w:sz="4" w:space="0" w:color="000000"/>
            </w:tcBorders>
          </w:tcPr>
          <w:p w14:paraId="6FF1C3CC" w14:textId="77777777" w:rsidR="00C47BC8" w:rsidRDefault="00C47BC8">
            <w:pPr>
              <w:pStyle w:val="TableParagraph"/>
              <w:rPr>
                <w:rFonts w:ascii="Times New Roman"/>
                <w:sz w:val="10"/>
              </w:rPr>
            </w:pPr>
          </w:p>
        </w:tc>
        <w:tc>
          <w:tcPr>
            <w:tcW w:w="1097" w:type="dxa"/>
            <w:tcBorders>
              <w:top w:val="single" w:sz="4" w:space="0" w:color="000000"/>
              <w:left w:val="single" w:sz="4" w:space="0" w:color="000000"/>
              <w:bottom w:val="single" w:sz="4" w:space="0" w:color="000000"/>
              <w:right w:val="single" w:sz="4" w:space="0" w:color="000000"/>
            </w:tcBorders>
          </w:tcPr>
          <w:p w14:paraId="28F15708" w14:textId="77777777" w:rsidR="00C47BC8" w:rsidRDefault="00C47BC8">
            <w:pPr>
              <w:pStyle w:val="TableParagraph"/>
              <w:rPr>
                <w:rFonts w:ascii="Times New Roman"/>
                <w:sz w:val="10"/>
              </w:rPr>
            </w:pPr>
          </w:p>
        </w:tc>
        <w:tc>
          <w:tcPr>
            <w:tcW w:w="345" w:type="dxa"/>
            <w:vMerge/>
            <w:tcBorders>
              <w:top w:val="nil"/>
              <w:left w:val="single" w:sz="4" w:space="0" w:color="000000"/>
            </w:tcBorders>
          </w:tcPr>
          <w:p w14:paraId="4DA4935D" w14:textId="77777777" w:rsidR="00C47BC8" w:rsidRDefault="00C47BC8">
            <w:pPr>
              <w:rPr>
                <w:sz w:val="2"/>
                <w:szCs w:val="2"/>
              </w:rPr>
            </w:pPr>
          </w:p>
        </w:tc>
      </w:tr>
      <w:tr w:rsidR="00C47BC8" w14:paraId="4F90EBA7" w14:textId="77777777">
        <w:trPr>
          <w:trHeight w:val="161"/>
        </w:trPr>
        <w:tc>
          <w:tcPr>
            <w:tcW w:w="2440" w:type="dxa"/>
            <w:vMerge/>
            <w:tcBorders>
              <w:top w:val="nil"/>
            </w:tcBorders>
          </w:tcPr>
          <w:p w14:paraId="13A4C295" w14:textId="77777777" w:rsidR="00C47BC8" w:rsidRDefault="00C47BC8">
            <w:pPr>
              <w:rPr>
                <w:sz w:val="2"/>
                <w:szCs w:val="2"/>
              </w:rPr>
            </w:pPr>
          </w:p>
        </w:tc>
        <w:tc>
          <w:tcPr>
            <w:tcW w:w="408" w:type="dxa"/>
            <w:vMerge/>
            <w:tcBorders>
              <w:top w:val="nil"/>
            </w:tcBorders>
          </w:tcPr>
          <w:p w14:paraId="32C9832E" w14:textId="77777777" w:rsidR="00C47BC8" w:rsidRDefault="00C47BC8">
            <w:pPr>
              <w:rPr>
                <w:sz w:val="2"/>
                <w:szCs w:val="2"/>
              </w:rPr>
            </w:pPr>
          </w:p>
        </w:tc>
        <w:tc>
          <w:tcPr>
            <w:tcW w:w="113" w:type="dxa"/>
            <w:vMerge/>
            <w:tcBorders>
              <w:top w:val="nil"/>
              <w:right w:val="single" w:sz="4" w:space="0" w:color="000000"/>
            </w:tcBorders>
          </w:tcPr>
          <w:p w14:paraId="77BA4643" w14:textId="77777777" w:rsidR="00C47BC8" w:rsidRDefault="00C47BC8">
            <w:pPr>
              <w:rPr>
                <w:sz w:val="2"/>
                <w:szCs w:val="2"/>
              </w:rPr>
            </w:pPr>
          </w:p>
        </w:tc>
        <w:tc>
          <w:tcPr>
            <w:tcW w:w="988" w:type="dxa"/>
            <w:tcBorders>
              <w:top w:val="nil"/>
              <w:left w:val="single" w:sz="4" w:space="0" w:color="000000"/>
              <w:bottom w:val="nil"/>
              <w:right w:val="single" w:sz="4" w:space="0" w:color="000000"/>
            </w:tcBorders>
          </w:tcPr>
          <w:p w14:paraId="40266E47" w14:textId="77777777" w:rsidR="00C47BC8" w:rsidRDefault="00C47BC8">
            <w:pPr>
              <w:pStyle w:val="TableParagraph"/>
              <w:rPr>
                <w:rFonts w:ascii="Times New Roman"/>
                <w:sz w:val="10"/>
              </w:rPr>
            </w:pPr>
          </w:p>
        </w:tc>
        <w:tc>
          <w:tcPr>
            <w:tcW w:w="2750" w:type="dxa"/>
            <w:tcBorders>
              <w:top w:val="single" w:sz="4" w:space="0" w:color="000000"/>
              <w:left w:val="single" w:sz="4" w:space="0" w:color="000000"/>
              <w:bottom w:val="single" w:sz="4" w:space="0" w:color="000000"/>
              <w:right w:val="single" w:sz="4" w:space="0" w:color="000000"/>
            </w:tcBorders>
          </w:tcPr>
          <w:p w14:paraId="1D61700A" w14:textId="77777777" w:rsidR="00C47BC8" w:rsidRDefault="00606574">
            <w:pPr>
              <w:pStyle w:val="TableParagraph"/>
              <w:spacing w:line="141" w:lineRule="exact"/>
              <w:ind w:left="105"/>
              <w:rPr>
                <w:sz w:val="14"/>
              </w:rPr>
            </w:pPr>
            <w:r>
              <w:rPr>
                <w:sz w:val="12"/>
              </w:rPr>
              <w:t>4. Percentuale di combustibili fossili</w:t>
            </w:r>
          </w:p>
        </w:tc>
        <w:tc>
          <w:tcPr>
            <w:tcW w:w="1174" w:type="dxa"/>
            <w:tcBorders>
              <w:top w:val="single" w:sz="4" w:space="0" w:color="000000"/>
              <w:left w:val="single" w:sz="4" w:space="0" w:color="000000"/>
              <w:bottom w:val="single" w:sz="4" w:space="0" w:color="000000"/>
              <w:right w:val="single" w:sz="4" w:space="0" w:color="000000"/>
            </w:tcBorders>
          </w:tcPr>
          <w:p w14:paraId="3E13E5BB" w14:textId="77777777" w:rsidR="00C47BC8" w:rsidRDefault="00606574">
            <w:pPr>
              <w:pStyle w:val="TableParagraph"/>
              <w:spacing w:line="141" w:lineRule="exact"/>
              <w:ind w:left="4"/>
              <w:jc w:val="center"/>
              <w:rPr>
                <w:sz w:val="14"/>
              </w:rPr>
            </w:pPr>
            <w:r>
              <w:rPr>
                <w:spacing w:val="-10"/>
                <w:sz w:val="12"/>
              </w:rPr>
              <w:t>X</w:t>
            </w:r>
          </w:p>
        </w:tc>
        <w:tc>
          <w:tcPr>
            <w:tcW w:w="1019" w:type="dxa"/>
            <w:tcBorders>
              <w:top w:val="single" w:sz="4" w:space="0" w:color="000000"/>
              <w:left w:val="single" w:sz="4" w:space="0" w:color="000000"/>
              <w:bottom w:val="single" w:sz="4" w:space="0" w:color="000000"/>
              <w:right w:val="single" w:sz="4" w:space="0" w:color="000000"/>
            </w:tcBorders>
          </w:tcPr>
          <w:p w14:paraId="1C611652" w14:textId="77777777" w:rsidR="00C47BC8" w:rsidRDefault="00C47BC8">
            <w:pPr>
              <w:pStyle w:val="TableParagraph"/>
              <w:rPr>
                <w:rFonts w:ascii="Times New Roman"/>
                <w:sz w:val="10"/>
              </w:rPr>
            </w:pPr>
          </w:p>
        </w:tc>
        <w:tc>
          <w:tcPr>
            <w:tcW w:w="1020" w:type="dxa"/>
            <w:tcBorders>
              <w:top w:val="single" w:sz="4" w:space="0" w:color="000000"/>
              <w:left w:val="single" w:sz="4" w:space="0" w:color="000000"/>
              <w:bottom w:val="single" w:sz="4" w:space="0" w:color="000000"/>
              <w:right w:val="single" w:sz="4" w:space="0" w:color="000000"/>
            </w:tcBorders>
          </w:tcPr>
          <w:p w14:paraId="53A20408" w14:textId="77777777" w:rsidR="00C47BC8" w:rsidRDefault="00C47BC8">
            <w:pPr>
              <w:pStyle w:val="TableParagraph"/>
              <w:rPr>
                <w:rFonts w:ascii="Times New Roman"/>
                <w:sz w:val="10"/>
              </w:rPr>
            </w:pPr>
          </w:p>
        </w:tc>
        <w:tc>
          <w:tcPr>
            <w:tcW w:w="1097" w:type="dxa"/>
            <w:tcBorders>
              <w:top w:val="single" w:sz="4" w:space="0" w:color="000000"/>
              <w:left w:val="single" w:sz="4" w:space="0" w:color="000000"/>
              <w:bottom w:val="single" w:sz="4" w:space="0" w:color="000000"/>
              <w:right w:val="single" w:sz="4" w:space="0" w:color="000000"/>
            </w:tcBorders>
          </w:tcPr>
          <w:p w14:paraId="0981823F" w14:textId="77777777" w:rsidR="00C47BC8" w:rsidRDefault="00C47BC8">
            <w:pPr>
              <w:pStyle w:val="TableParagraph"/>
              <w:rPr>
                <w:rFonts w:ascii="Times New Roman"/>
                <w:sz w:val="10"/>
              </w:rPr>
            </w:pPr>
          </w:p>
        </w:tc>
        <w:tc>
          <w:tcPr>
            <w:tcW w:w="345" w:type="dxa"/>
            <w:vMerge/>
            <w:tcBorders>
              <w:top w:val="nil"/>
              <w:left w:val="single" w:sz="4" w:space="0" w:color="000000"/>
            </w:tcBorders>
          </w:tcPr>
          <w:p w14:paraId="486E6E79" w14:textId="77777777" w:rsidR="00C47BC8" w:rsidRDefault="00C47BC8">
            <w:pPr>
              <w:rPr>
                <w:sz w:val="2"/>
                <w:szCs w:val="2"/>
              </w:rPr>
            </w:pPr>
          </w:p>
        </w:tc>
      </w:tr>
      <w:tr w:rsidR="00C47BC8" w14:paraId="5983AE2D" w14:textId="77777777">
        <w:trPr>
          <w:trHeight w:val="160"/>
        </w:trPr>
        <w:tc>
          <w:tcPr>
            <w:tcW w:w="2440" w:type="dxa"/>
            <w:vMerge/>
            <w:tcBorders>
              <w:top w:val="nil"/>
            </w:tcBorders>
          </w:tcPr>
          <w:p w14:paraId="05AD3B64" w14:textId="77777777" w:rsidR="00C47BC8" w:rsidRDefault="00C47BC8">
            <w:pPr>
              <w:rPr>
                <w:sz w:val="2"/>
                <w:szCs w:val="2"/>
              </w:rPr>
            </w:pPr>
          </w:p>
        </w:tc>
        <w:tc>
          <w:tcPr>
            <w:tcW w:w="408" w:type="dxa"/>
            <w:vMerge/>
            <w:tcBorders>
              <w:top w:val="nil"/>
            </w:tcBorders>
          </w:tcPr>
          <w:p w14:paraId="61CC1702" w14:textId="77777777" w:rsidR="00C47BC8" w:rsidRDefault="00C47BC8">
            <w:pPr>
              <w:rPr>
                <w:sz w:val="2"/>
                <w:szCs w:val="2"/>
              </w:rPr>
            </w:pPr>
          </w:p>
        </w:tc>
        <w:tc>
          <w:tcPr>
            <w:tcW w:w="113" w:type="dxa"/>
            <w:vMerge/>
            <w:tcBorders>
              <w:top w:val="nil"/>
              <w:right w:val="single" w:sz="4" w:space="0" w:color="000000"/>
            </w:tcBorders>
          </w:tcPr>
          <w:p w14:paraId="6D9BA3F5" w14:textId="77777777" w:rsidR="00C47BC8" w:rsidRDefault="00C47BC8">
            <w:pPr>
              <w:rPr>
                <w:sz w:val="2"/>
                <w:szCs w:val="2"/>
              </w:rPr>
            </w:pPr>
          </w:p>
        </w:tc>
        <w:tc>
          <w:tcPr>
            <w:tcW w:w="988" w:type="dxa"/>
            <w:tcBorders>
              <w:top w:val="nil"/>
              <w:left w:val="single" w:sz="4" w:space="0" w:color="000000"/>
              <w:bottom w:val="nil"/>
              <w:right w:val="single" w:sz="4" w:space="0" w:color="000000"/>
            </w:tcBorders>
          </w:tcPr>
          <w:p w14:paraId="06EDCDFE" w14:textId="77777777" w:rsidR="00C47BC8" w:rsidRDefault="00C47BC8">
            <w:pPr>
              <w:pStyle w:val="TableParagraph"/>
              <w:rPr>
                <w:rFonts w:ascii="Times New Roman"/>
                <w:sz w:val="10"/>
              </w:rPr>
            </w:pPr>
          </w:p>
        </w:tc>
        <w:tc>
          <w:tcPr>
            <w:tcW w:w="2750" w:type="dxa"/>
            <w:tcBorders>
              <w:top w:val="single" w:sz="4" w:space="0" w:color="000000"/>
              <w:left w:val="single" w:sz="4" w:space="0" w:color="000000"/>
              <w:bottom w:val="single" w:sz="4" w:space="0" w:color="000000"/>
              <w:right w:val="single" w:sz="4" w:space="0" w:color="000000"/>
            </w:tcBorders>
          </w:tcPr>
          <w:p w14:paraId="6C04309C" w14:textId="77777777" w:rsidR="00C47BC8" w:rsidRDefault="00606574">
            <w:pPr>
              <w:pStyle w:val="TableParagraph"/>
              <w:spacing w:line="140" w:lineRule="exact"/>
              <w:ind w:left="105"/>
              <w:rPr>
                <w:sz w:val="14"/>
              </w:rPr>
            </w:pPr>
            <w:r>
              <w:rPr>
                <w:sz w:val="12"/>
              </w:rPr>
              <w:t>5. Percentuale di fonti non rinnovabili / rinnovabili</w:t>
            </w:r>
          </w:p>
        </w:tc>
        <w:tc>
          <w:tcPr>
            <w:tcW w:w="1174" w:type="dxa"/>
            <w:tcBorders>
              <w:top w:val="single" w:sz="4" w:space="0" w:color="000000"/>
              <w:left w:val="single" w:sz="4" w:space="0" w:color="000000"/>
              <w:bottom w:val="single" w:sz="4" w:space="0" w:color="000000"/>
              <w:right w:val="single" w:sz="4" w:space="0" w:color="000000"/>
            </w:tcBorders>
          </w:tcPr>
          <w:p w14:paraId="77C9B85F" w14:textId="77777777" w:rsidR="00C47BC8" w:rsidRDefault="00C47BC8">
            <w:pPr>
              <w:pStyle w:val="TableParagraph"/>
              <w:rPr>
                <w:rFonts w:ascii="Times New Roman"/>
                <w:sz w:val="10"/>
              </w:rPr>
            </w:pPr>
          </w:p>
        </w:tc>
        <w:tc>
          <w:tcPr>
            <w:tcW w:w="1019" w:type="dxa"/>
            <w:tcBorders>
              <w:top w:val="single" w:sz="4" w:space="0" w:color="000000"/>
              <w:left w:val="single" w:sz="4" w:space="0" w:color="000000"/>
              <w:bottom w:val="single" w:sz="4" w:space="0" w:color="000000"/>
              <w:right w:val="single" w:sz="4" w:space="0" w:color="000000"/>
            </w:tcBorders>
          </w:tcPr>
          <w:p w14:paraId="10B2FD57" w14:textId="77777777" w:rsidR="00C47BC8" w:rsidRDefault="00C47BC8">
            <w:pPr>
              <w:pStyle w:val="TableParagraph"/>
              <w:rPr>
                <w:rFonts w:ascii="Times New Roman"/>
                <w:sz w:val="10"/>
              </w:rPr>
            </w:pPr>
          </w:p>
        </w:tc>
        <w:tc>
          <w:tcPr>
            <w:tcW w:w="1020" w:type="dxa"/>
            <w:tcBorders>
              <w:top w:val="single" w:sz="4" w:space="0" w:color="000000"/>
              <w:left w:val="single" w:sz="4" w:space="0" w:color="000000"/>
              <w:bottom w:val="single" w:sz="4" w:space="0" w:color="000000"/>
              <w:right w:val="single" w:sz="4" w:space="0" w:color="000000"/>
            </w:tcBorders>
          </w:tcPr>
          <w:p w14:paraId="3DADAA94" w14:textId="77777777" w:rsidR="00C47BC8" w:rsidRDefault="00C47BC8">
            <w:pPr>
              <w:pStyle w:val="TableParagraph"/>
              <w:rPr>
                <w:rFonts w:ascii="Times New Roman"/>
                <w:sz w:val="10"/>
              </w:rPr>
            </w:pPr>
          </w:p>
        </w:tc>
        <w:tc>
          <w:tcPr>
            <w:tcW w:w="1097" w:type="dxa"/>
            <w:tcBorders>
              <w:top w:val="single" w:sz="4" w:space="0" w:color="000000"/>
              <w:left w:val="single" w:sz="4" w:space="0" w:color="000000"/>
              <w:bottom w:val="single" w:sz="4" w:space="0" w:color="000000"/>
              <w:right w:val="single" w:sz="4" w:space="0" w:color="000000"/>
            </w:tcBorders>
          </w:tcPr>
          <w:p w14:paraId="4A75BD8A" w14:textId="77777777" w:rsidR="00C47BC8" w:rsidRDefault="00C47BC8">
            <w:pPr>
              <w:pStyle w:val="TableParagraph"/>
              <w:rPr>
                <w:rFonts w:ascii="Times New Roman"/>
                <w:sz w:val="10"/>
              </w:rPr>
            </w:pPr>
          </w:p>
        </w:tc>
        <w:tc>
          <w:tcPr>
            <w:tcW w:w="345" w:type="dxa"/>
            <w:vMerge/>
            <w:tcBorders>
              <w:top w:val="nil"/>
              <w:left w:val="single" w:sz="4" w:space="0" w:color="000000"/>
            </w:tcBorders>
          </w:tcPr>
          <w:p w14:paraId="21F545CE" w14:textId="77777777" w:rsidR="00C47BC8" w:rsidRDefault="00C47BC8">
            <w:pPr>
              <w:rPr>
                <w:sz w:val="2"/>
                <w:szCs w:val="2"/>
              </w:rPr>
            </w:pPr>
          </w:p>
        </w:tc>
      </w:tr>
      <w:tr w:rsidR="00C47BC8" w14:paraId="49F0EFD3" w14:textId="77777777">
        <w:trPr>
          <w:trHeight w:val="322"/>
        </w:trPr>
        <w:tc>
          <w:tcPr>
            <w:tcW w:w="2440" w:type="dxa"/>
            <w:vMerge/>
            <w:tcBorders>
              <w:top w:val="nil"/>
            </w:tcBorders>
          </w:tcPr>
          <w:p w14:paraId="2BBDD2FC" w14:textId="77777777" w:rsidR="00C47BC8" w:rsidRDefault="00C47BC8">
            <w:pPr>
              <w:rPr>
                <w:sz w:val="2"/>
                <w:szCs w:val="2"/>
              </w:rPr>
            </w:pPr>
          </w:p>
        </w:tc>
        <w:tc>
          <w:tcPr>
            <w:tcW w:w="408" w:type="dxa"/>
            <w:vMerge/>
            <w:tcBorders>
              <w:top w:val="nil"/>
            </w:tcBorders>
          </w:tcPr>
          <w:p w14:paraId="2C53D0D6" w14:textId="77777777" w:rsidR="00C47BC8" w:rsidRDefault="00C47BC8">
            <w:pPr>
              <w:rPr>
                <w:sz w:val="2"/>
                <w:szCs w:val="2"/>
              </w:rPr>
            </w:pPr>
          </w:p>
        </w:tc>
        <w:tc>
          <w:tcPr>
            <w:tcW w:w="113" w:type="dxa"/>
            <w:vMerge/>
            <w:tcBorders>
              <w:top w:val="nil"/>
              <w:right w:val="single" w:sz="4" w:space="0" w:color="000000"/>
            </w:tcBorders>
          </w:tcPr>
          <w:p w14:paraId="267F5991" w14:textId="77777777" w:rsidR="00C47BC8" w:rsidRDefault="00C47BC8">
            <w:pPr>
              <w:rPr>
                <w:sz w:val="2"/>
                <w:szCs w:val="2"/>
              </w:rPr>
            </w:pPr>
          </w:p>
        </w:tc>
        <w:tc>
          <w:tcPr>
            <w:tcW w:w="988" w:type="dxa"/>
            <w:tcBorders>
              <w:top w:val="nil"/>
              <w:left w:val="single" w:sz="4" w:space="0" w:color="000000"/>
              <w:bottom w:val="single" w:sz="4" w:space="0" w:color="000000"/>
              <w:right w:val="single" w:sz="4" w:space="0" w:color="000000"/>
            </w:tcBorders>
          </w:tcPr>
          <w:p w14:paraId="7E9BCF83" w14:textId="77777777" w:rsidR="00C47BC8" w:rsidRDefault="00C47BC8">
            <w:pPr>
              <w:pStyle w:val="TableParagraph"/>
              <w:rPr>
                <w:rFonts w:ascii="Times New Roman"/>
                <w:sz w:val="18"/>
              </w:rPr>
            </w:pPr>
          </w:p>
        </w:tc>
        <w:tc>
          <w:tcPr>
            <w:tcW w:w="2750" w:type="dxa"/>
            <w:tcBorders>
              <w:top w:val="single" w:sz="4" w:space="0" w:color="000000"/>
              <w:left w:val="single" w:sz="4" w:space="0" w:color="000000"/>
              <w:bottom w:val="single" w:sz="4" w:space="0" w:color="000000"/>
              <w:right w:val="single" w:sz="4" w:space="0" w:color="000000"/>
            </w:tcBorders>
          </w:tcPr>
          <w:p w14:paraId="3A74CB80" w14:textId="77777777" w:rsidR="00C47BC8" w:rsidRDefault="00606574">
            <w:pPr>
              <w:pStyle w:val="TableParagraph"/>
              <w:spacing w:line="160" w:lineRule="atLeast"/>
              <w:ind w:left="105" w:right="139"/>
              <w:rPr>
                <w:sz w:val="14"/>
              </w:rPr>
            </w:pPr>
            <w:r>
              <w:rPr>
                <w:sz w:val="12"/>
              </w:rPr>
              <w:t>6. Consumo energetico dei settori ad alto impatto</w:t>
            </w:r>
          </w:p>
        </w:tc>
        <w:tc>
          <w:tcPr>
            <w:tcW w:w="1174" w:type="dxa"/>
            <w:tcBorders>
              <w:top w:val="single" w:sz="4" w:space="0" w:color="000000"/>
              <w:left w:val="single" w:sz="4" w:space="0" w:color="000000"/>
              <w:bottom w:val="single" w:sz="4" w:space="0" w:color="000000"/>
              <w:right w:val="single" w:sz="4" w:space="0" w:color="000000"/>
            </w:tcBorders>
          </w:tcPr>
          <w:p w14:paraId="2DAFD188" w14:textId="77777777" w:rsidR="00C47BC8" w:rsidRDefault="00C47BC8">
            <w:pPr>
              <w:pStyle w:val="TableParagraph"/>
              <w:rPr>
                <w:rFonts w:ascii="Times New Roman"/>
                <w:sz w:val="18"/>
              </w:rPr>
            </w:pPr>
          </w:p>
        </w:tc>
        <w:tc>
          <w:tcPr>
            <w:tcW w:w="1019" w:type="dxa"/>
            <w:tcBorders>
              <w:top w:val="single" w:sz="4" w:space="0" w:color="000000"/>
              <w:left w:val="single" w:sz="4" w:space="0" w:color="000000"/>
              <w:bottom w:val="single" w:sz="4" w:space="0" w:color="000000"/>
              <w:right w:val="single" w:sz="4" w:space="0" w:color="000000"/>
            </w:tcBorders>
          </w:tcPr>
          <w:p w14:paraId="4D0614B0" w14:textId="77777777" w:rsidR="00C47BC8" w:rsidRDefault="00C47BC8">
            <w:pPr>
              <w:pStyle w:val="TableParagraph"/>
              <w:rPr>
                <w:rFonts w:ascii="Times New Roman"/>
                <w:sz w:val="18"/>
              </w:rPr>
            </w:pPr>
          </w:p>
        </w:tc>
        <w:tc>
          <w:tcPr>
            <w:tcW w:w="1020" w:type="dxa"/>
            <w:tcBorders>
              <w:top w:val="single" w:sz="4" w:space="0" w:color="000000"/>
              <w:left w:val="single" w:sz="4" w:space="0" w:color="000000"/>
              <w:bottom w:val="single" w:sz="4" w:space="0" w:color="000000"/>
              <w:right w:val="single" w:sz="4" w:space="0" w:color="000000"/>
            </w:tcBorders>
          </w:tcPr>
          <w:p w14:paraId="7D548C4F" w14:textId="77777777" w:rsidR="00C47BC8" w:rsidRDefault="00C47BC8">
            <w:pPr>
              <w:pStyle w:val="TableParagraph"/>
              <w:rPr>
                <w:rFonts w:ascii="Times New Roman"/>
                <w:sz w:val="18"/>
              </w:rPr>
            </w:pPr>
          </w:p>
        </w:tc>
        <w:tc>
          <w:tcPr>
            <w:tcW w:w="1097" w:type="dxa"/>
            <w:tcBorders>
              <w:top w:val="single" w:sz="4" w:space="0" w:color="000000"/>
              <w:left w:val="single" w:sz="4" w:space="0" w:color="000000"/>
              <w:bottom w:val="single" w:sz="4" w:space="0" w:color="000000"/>
              <w:right w:val="single" w:sz="4" w:space="0" w:color="000000"/>
            </w:tcBorders>
          </w:tcPr>
          <w:p w14:paraId="2F97B3E0" w14:textId="77777777" w:rsidR="00C47BC8" w:rsidRDefault="00C47BC8">
            <w:pPr>
              <w:pStyle w:val="TableParagraph"/>
              <w:rPr>
                <w:rFonts w:ascii="Times New Roman"/>
                <w:sz w:val="18"/>
              </w:rPr>
            </w:pPr>
          </w:p>
        </w:tc>
        <w:tc>
          <w:tcPr>
            <w:tcW w:w="345" w:type="dxa"/>
            <w:vMerge/>
            <w:tcBorders>
              <w:top w:val="nil"/>
              <w:left w:val="single" w:sz="4" w:space="0" w:color="000000"/>
            </w:tcBorders>
          </w:tcPr>
          <w:p w14:paraId="69DC77E8" w14:textId="77777777" w:rsidR="00C47BC8" w:rsidRDefault="00C47BC8">
            <w:pPr>
              <w:rPr>
                <w:sz w:val="2"/>
                <w:szCs w:val="2"/>
              </w:rPr>
            </w:pPr>
          </w:p>
        </w:tc>
      </w:tr>
      <w:tr w:rsidR="00C47BC8" w14:paraId="3DA290F7" w14:textId="77777777">
        <w:trPr>
          <w:trHeight w:val="457"/>
        </w:trPr>
        <w:tc>
          <w:tcPr>
            <w:tcW w:w="2440" w:type="dxa"/>
            <w:vMerge/>
            <w:tcBorders>
              <w:top w:val="nil"/>
            </w:tcBorders>
          </w:tcPr>
          <w:p w14:paraId="3B2D44C0" w14:textId="77777777" w:rsidR="00C47BC8" w:rsidRDefault="00C47BC8">
            <w:pPr>
              <w:rPr>
                <w:sz w:val="2"/>
                <w:szCs w:val="2"/>
              </w:rPr>
            </w:pPr>
          </w:p>
        </w:tc>
        <w:tc>
          <w:tcPr>
            <w:tcW w:w="408" w:type="dxa"/>
            <w:vMerge/>
            <w:tcBorders>
              <w:top w:val="nil"/>
            </w:tcBorders>
          </w:tcPr>
          <w:p w14:paraId="52B33E15" w14:textId="77777777" w:rsidR="00C47BC8" w:rsidRDefault="00C47BC8">
            <w:pPr>
              <w:rPr>
                <w:sz w:val="2"/>
                <w:szCs w:val="2"/>
              </w:rPr>
            </w:pPr>
          </w:p>
        </w:tc>
        <w:tc>
          <w:tcPr>
            <w:tcW w:w="113" w:type="dxa"/>
            <w:vMerge/>
            <w:tcBorders>
              <w:top w:val="nil"/>
              <w:right w:val="single" w:sz="4" w:space="0" w:color="000000"/>
            </w:tcBorders>
          </w:tcPr>
          <w:p w14:paraId="41619EA5" w14:textId="77777777" w:rsidR="00C47BC8" w:rsidRDefault="00C47BC8">
            <w:pPr>
              <w:rPr>
                <w:sz w:val="2"/>
                <w:szCs w:val="2"/>
              </w:rPr>
            </w:pPr>
          </w:p>
        </w:tc>
        <w:tc>
          <w:tcPr>
            <w:tcW w:w="988" w:type="dxa"/>
            <w:tcBorders>
              <w:top w:val="single" w:sz="4" w:space="0" w:color="000000"/>
              <w:left w:val="single" w:sz="4" w:space="0" w:color="000000"/>
              <w:bottom w:val="single" w:sz="4" w:space="0" w:color="000000"/>
              <w:right w:val="single" w:sz="4" w:space="0" w:color="000000"/>
            </w:tcBorders>
          </w:tcPr>
          <w:p w14:paraId="590FF2D0" w14:textId="77777777" w:rsidR="00C47BC8" w:rsidRDefault="00606574">
            <w:pPr>
              <w:pStyle w:val="TableParagraph"/>
              <w:spacing w:line="160" w:lineRule="exact"/>
              <w:ind w:left="107"/>
              <w:rPr>
                <w:sz w:val="14"/>
              </w:rPr>
            </w:pPr>
            <w:r>
              <w:rPr>
                <w:spacing w:val="-2"/>
                <w:sz w:val="12"/>
              </w:rPr>
              <w:t>Biodiversità</w:t>
            </w:r>
          </w:p>
        </w:tc>
        <w:tc>
          <w:tcPr>
            <w:tcW w:w="2750" w:type="dxa"/>
            <w:tcBorders>
              <w:top w:val="single" w:sz="4" w:space="0" w:color="000000"/>
              <w:left w:val="single" w:sz="4" w:space="0" w:color="000000"/>
              <w:bottom w:val="single" w:sz="4" w:space="0" w:color="000000"/>
              <w:right w:val="single" w:sz="4" w:space="0" w:color="000000"/>
            </w:tcBorders>
          </w:tcPr>
          <w:p w14:paraId="53E2EB5B" w14:textId="77777777" w:rsidR="00C47BC8" w:rsidRDefault="00606574">
            <w:pPr>
              <w:pStyle w:val="TableParagraph"/>
              <w:ind w:left="105" w:right="139"/>
              <w:rPr>
                <w:sz w:val="14"/>
              </w:rPr>
            </w:pPr>
            <w:r>
              <w:rPr>
                <w:sz w:val="12"/>
              </w:rPr>
              <w:t>7. Impatto negativo sulle aree sensibili dal punto di vista della biodiversità</w:t>
            </w:r>
          </w:p>
        </w:tc>
        <w:tc>
          <w:tcPr>
            <w:tcW w:w="1174" w:type="dxa"/>
            <w:tcBorders>
              <w:top w:val="single" w:sz="4" w:space="0" w:color="000000"/>
              <w:left w:val="single" w:sz="4" w:space="0" w:color="000000"/>
              <w:bottom w:val="single" w:sz="4" w:space="0" w:color="000000"/>
              <w:right w:val="single" w:sz="4" w:space="0" w:color="000000"/>
            </w:tcBorders>
          </w:tcPr>
          <w:p w14:paraId="436BDB13" w14:textId="77777777" w:rsidR="00C47BC8" w:rsidRDefault="00C47BC8">
            <w:pPr>
              <w:pStyle w:val="TableParagraph"/>
              <w:rPr>
                <w:rFonts w:ascii="Times New Roman"/>
                <w:sz w:val="18"/>
              </w:rPr>
            </w:pPr>
          </w:p>
        </w:tc>
        <w:tc>
          <w:tcPr>
            <w:tcW w:w="1019" w:type="dxa"/>
            <w:tcBorders>
              <w:top w:val="single" w:sz="4" w:space="0" w:color="000000"/>
              <w:left w:val="single" w:sz="4" w:space="0" w:color="000000"/>
              <w:bottom w:val="single" w:sz="4" w:space="0" w:color="000000"/>
              <w:right w:val="single" w:sz="4" w:space="0" w:color="000000"/>
            </w:tcBorders>
          </w:tcPr>
          <w:p w14:paraId="1BC039A7" w14:textId="77777777" w:rsidR="00C47BC8" w:rsidRDefault="00606574">
            <w:pPr>
              <w:pStyle w:val="TableParagraph"/>
              <w:spacing w:line="160" w:lineRule="exact"/>
              <w:ind w:left="3"/>
              <w:jc w:val="center"/>
              <w:rPr>
                <w:sz w:val="14"/>
              </w:rPr>
            </w:pPr>
            <w:r>
              <w:rPr>
                <w:spacing w:val="-10"/>
                <w:sz w:val="12"/>
              </w:rPr>
              <w:t>X</w:t>
            </w:r>
          </w:p>
        </w:tc>
        <w:tc>
          <w:tcPr>
            <w:tcW w:w="1020" w:type="dxa"/>
            <w:tcBorders>
              <w:top w:val="single" w:sz="4" w:space="0" w:color="000000"/>
              <w:left w:val="single" w:sz="4" w:space="0" w:color="000000"/>
              <w:bottom w:val="single" w:sz="4" w:space="0" w:color="000000"/>
              <w:right w:val="single" w:sz="4" w:space="0" w:color="000000"/>
            </w:tcBorders>
          </w:tcPr>
          <w:p w14:paraId="387075AA" w14:textId="77777777" w:rsidR="00C47BC8" w:rsidRDefault="00C47BC8">
            <w:pPr>
              <w:pStyle w:val="TableParagraph"/>
              <w:rPr>
                <w:rFonts w:ascii="Times New Roman"/>
                <w:sz w:val="18"/>
              </w:rPr>
            </w:pPr>
          </w:p>
        </w:tc>
        <w:tc>
          <w:tcPr>
            <w:tcW w:w="1097" w:type="dxa"/>
            <w:tcBorders>
              <w:top w:val="single" w:sz="4" w:space="0" w:color="000000"/>
              <w:left w:val="single" w:sz="4" w:space="0" w:color="000000"/>
              <w:bottom w:val="single" w:sz="4" w:space="0" w:color="000000"/>
              <w:right w:val="single" w:sz="4" w:space="0" w:color="000000"/>
            </w:tcBorders>
          </w:tcPr>
          <w:p w14:paraId="4D5EC4DD" w14:textId="77777777" w:rsidR="00C47BC8" w:rsidRDefault="00C47BC8">
            <w:pPr>
              <w:pStyle w:val="TableParagraph"/>
              <w:rPr>
                <w:rFonts w:ascii="Times New Roman"/>
                <w:sz w:val="18"/>
              </w:rPr>
            </w:pPr>
          </w:p>
        </w:tc>
        <w:tc>
          <w:tcPr>
            <w:tcW w:w="345" w:type="dxa"/>
            <w:vMerge/>
            <w:tcBorders>
              <w:top w:val="nil"/>
              <w:left w:val="single" w:sz="4" w:space="0" w:color="000000"/>
            </w:tcBorders>
          </w:tcPr>
          <w:p w14:paraId="47B31E6A" w14:textId="77777777" w:rsidR="00C47BC8" w:rsidRDefault="00C47BC8">
            <w:pPr>
              <w:rPr>
                <w:sz w:val="2"/>
                <w:szCs w:val="2"/>
              </w:rPr>
            </w:pPr>
          </w:p>
        </w:tc>
      </w:tr>
      <w:tr w:rsidR="00C47BC8" w14:paraId="6D400D7F" w14:textId="77777777">
        <w:trPr>
          <w:trHeight w:val="160"/>
        </w:trPr>
        <w:tc>
          <w:tcPr>
            <w:tcW w:w="2440" w:type="dxa"/>
            <w:vMerge/>
            <w:tcBorders>
              <w:top w:val="nil"/>
            </w:tcBorders>
          </w:tcPr>
          <w:p w14:paraId="20A02002" w14:textId="77777777" w:rsidR="00C47BC8" w:rsidRDefault="00C47BC8">
            <w:pPr>
              <w:rPr>
                <w:sz w:val="2"/>
                <w:szCs w:val="2"/>
              </w:rPr>
            </w:pPr>
          </w:p>
        </w:tc>
        <w:tc>
          <w:tcPr>
            <w:tcW w:w="408" w:type="dxa"/>
            <w:vMerge/>
            <w:tcBorders>
              <w:top w:val="nil"/>
            </w:tcBorders>
          </w:tcPr>
          <w:p w14:paraId="39F8C31F" w14:textId="77777777" w:rsidR="00C47BC8" w:rsidRDefault="00C47BC8">
            <w:pPr>
              <w:rPr>
                <w:sz w:val="2"/>
                <w:szCs w:val="2"/>
              </w:rPr>
            </w:pPr>
          </w:p>
        </w:tc>
        <w:tc>
          <w:tcPr>
            <w:tcW w:w="113" w:type="dxa"/>
            <w:vMerge/>
            <w:tcBorders>
              <w:top w:val="nil"/>
              <w:right w:val="single" w:sz="4" w:space="0" w:color="000000"/>
            </w:tcBorders>
          </w:tcPr>
          <w:p w14:paraId="1762404D" w14:textId="77777777" w:rsidR="00C47BC8" w:rsidRDefault="00C47BC8">
            <w:pPr>
              <w:rPr>
                <w:sz w:val="2"/>
                <w:szCs w:val="2"/>
              </w:rPr>
            </w:pPr>
          </w:p>
        </w:tc>
        <w:tc>
          <w:tcPr>
            <w:tcW w:w="988" w:type="dxa"/>
            <w:tcBorders>
              <w:top w:val="single" w:sz="4" w:space="0" w:color="000000"/>
              <w:left w:val="single" w:sz="4" w:space="0" w:color="000000"/>
              <w:bottom w:val="single" w:sz="4" w:space="0" w:color="000000"/>
              <w:right w:val="single" w:sz="4" w:space="0" w:color="000000"/>
            </w:tcBorders>
          </w:tcPr>
          <w:p w14:paraId="2F497AC1" w14:textId="77777777" w:rsidR="00C47BC8" w:rsidRDefault="00606574">
            <w:pPr>
              <w:pStyle w:val="TableParagraph"/>
              <w:spacing w:line="140" w:lineRule="exact"/>
              <w:ind w:left="107"/>
              <w:rPr>
                <w:sz w:val="14"/>
              </w:rPr>
            </w:pPr>
            <w:r>
              <w:rPr>
                <w:spacing w:val="-2"/>
                <w:sz w:val="12"/>
              </w:rPr>
              <w:t>Acqua</w:t>
            </w:r>
          </w:p>
        </w:tc>
        <w:tc>
          <w:tcPr>
            <w:tcW w:w="2750" w:type="dxa"/>
            <w:tcBorders>
              <w:top w:val="single" w:sz="4" w:space="0" w:color="000000"/>
              <w:left w:val="single" w:sz="4" w:space="0" w:color="000000"/>
              <w:bottom w:val="single" w:sz="4" w:space="0" w:color="000000"/>
              <w:right w:val="single" w:sz="4" w:space="0" w:color="000000"/>
            </w:tcBorders>
          </w:tcPr>
          <w:p w14:paraId="30F6FB1B" w14:textId="77777777" w:rsidR="00C47BC8" w:rsidRDefault="00606574">
            <w:pPr>
              <w:pStyle w:val="TableParagraph"/>
              <w:spacing w:line="140" w:lineRule="exact"/>
              <w:ind w:left="105"/>
              <w:rPr>
                <w:sz w:val="14"/>
              </w:rPr>
            </w:pPr>
            <w:r>
              <w:rPr>
                <w:sz w:val="12"/>
              </w:rPr>
              <w:t>8. Emissioni nell'acqua</w:t>
            </w:r>
          </w:p>
        </w:tc>
        <w:tc>
          <w:tcPr>
            <w:tcW w:w="1174" w:type="dxa"/>
            <w:tcBorders>
              <w:top w:val="single" w:sz="4" w:space="0" w:color="000000"/>
              <w:left w:val="single" w:sz="4" w:space="0" w:color="000000"/>
              <w:bottom w:val="single" w:sz="4" w:space="0" w:color="000000"/>
              <w:right w:val="single" w:sz="4" w:space="0" w:color="000000"/>
            </w:tcBorders>
          </w:tcPr>
          <w:p w14:paraId="0E0C0F1B" w14:textId="77777777" w:rsidR="00C47BC8" w:rsidRDefault="00C47BC8">
            <w:pPr>
              <w:pStyle w:val="TableParagraph"/>
              <w:rPr>
                <w:rFonts w:ascii="Times New Roman"/>
                <w:sz w:val="10"/>
              </w:rPr>
            </w:pPr>
          </w:p>
        </w:tc>
        <w:tc>
          <w:tcPr>
            <w:tcW w:w="1019" w:type="dxa"/>
            <w:tcBorders>
              <w:top w:val="single" w:sz="4" w:space="0" w:color="000000"/>
              <w:left w:val="single" w:sz="4" w:space="0" w:color="000000"/>
              <w:bottom w:val="single" w:sz="4" w:space="0" w:color="000000"/>
              <w:right w:val="single" w:sz="4" w:space="0" w:color="000000"/>
            </w:tcBorders>
          </w:tcPr>
          <w:p w14:paraId="7FAC3F8B" w14:textId="77777777" w:rsidR="00C47BC8" w:rsidRDefault="00606574">
            <w:pPr>
              <w:pStyle w:val="TableParagraph"/>
              <w:spacing w:line="140" w:lineRule="exact"/>
              <w:ind w:left="3"/>
              <w:jc w:val="center"/>
              <w:rPr>
                <w:sz w:val="14"/>
              </w:rPr>
            </w:pPr>
            <w:r>
              <w:rPr>
                <w:spacing w:val="-10"/>
                <w:sz w:val="12"/>
              </w:rPr>
              <w:t>X</w:t>
            </w:r>
          </w:p>
        </w:tc>
        <w:tc>
          <w:tcPr>
            <w:tcW w:w="1020" w:type="dxa"/>
            <w:tcBorders>
              <w:top w:val="single" w:sz="4" w:space="0" w:color="000000"/>
              <w:left w:val="single" w:sz="4" w:space="0" w:color="000000"/>
              <w:bottom w:val="single" w:sz="4" w:space="0" w:color="000000"/>
              <w:right w:val="single" w:sz="4" w:space="0" w:color="000000"/>
            </w:tcBorders>
          </w:tcPr>
          <w:p w14:paraId="0E0EB54E" w14:textId="77777777" w:rsidR="00C47BC8" w:rsidRDefault="00C47BC8">
            <w:pPr>
              <w:pStyle w:val="TableParagraph"/>
              <w:rPr>
                <w:rFonts w:ascii="Times New Roman"/>
                <w:sz w:val="10"/>
              </w:rPr>
            </w:pPr>
          </w:p>
        </w:tc>
        <w:tc>
          <w:tcPr>
            <w:tcW w:w="1097" w:type="dxa"/>
            <w:tcBorders>
              <w:top w:val="single" w:sz="4" w:space="0" w:color="000000"/>
              <w:left w:val="single" w:sz="4" w:space="0" w:color="000000"/>
              <w:bottom w:val="single" w:sz="4" w:space="0" w:color="000000"/>
              <w:right w:val="single" w:sz="4" w:space="0" w:color="000000"/>
            </w:tcBorders>
          </w:tcPr>
          <w:p w14:paraId="654E23E9" w14:textId="77777777" w:rsidR="00C47BC8" w:rsidRDefault="00C47BC8">
            <w:pPr>
              <w:pStyle w:val="TableParagraph"/>
              <w:rPr>
                <w:rFonts w:ascii="Times New Roman"/>
                <w:sz w:val="10"/>
              </w:rPr>
            </w:pPr>
          </w:p>
        </w:tc>
        <w:tc>
          <w:tcPr>
            <w:tcW w:w="345" w:type="dxa"/>
            <w:vMerge/>
            <w:tcBorders>
              <w:top w:val="nil"/>
              <w:left w:val="single" w:sz="4" w:space="0" w:color="000000"/>
            </w:tcBorders>
          </w:tcPr>
          <w:p w14:paraId="01C492CA" w14:textId="77777777" w:rsidR="00C47BC8" w:rsidRDefault="00C47BC8">
            <w:pPr>
              <w:rPr>
                <w:sz w:val="2"/>
                <w:szCs w:val="2"/>
              </w:rPr>
            </w:pPr>
          </w:p>
        </w:tc>
      </w:tr>
      <w:tr w:rsidR="00C47BC8" w14:paraId="5119EB17" w14:textId="77777777">
        <w:trPr>
          <w:trHeight w:val="161"/>
        </w:trPr>
        <w:tc>
          <w:tcPr>
            <w:tcW w:w="2440" w:type="dxa"/>
            <w:vMerge/>
            <w:tcBorders>
              <w:top w:val="nil"/>
            </w:tcBorders>
          </w:tcPr>
          <w:p w14:paraId="4D52B13B" w14:textId="77777777" w:rsidR="00C47BC8" w:rsidRDefault="00C47BC8">
            <w:pPr>
              <w:rPr>
                <w:sz w:val="2"/>
                <w:szCs w:val="2"/>
              </w:rPr>
            </w:pPr>
          </w:p>
        </w:tc>
        <w:tc>
          <w:tcPr>
            <w:tcW w:w="408" w:type="dxa"/>
            <w:vMerge/>
            <w:tcBorders>
              <w:top w:val="nil"/>
            </w:tcBorders>
          </w:tcPr>
          <w:p w14:paraId="78660B28" w14:textId="77777777" w:rsidR="00C47BC8" w:rsidRDefault="00C47BC8">
            <w:pPr>
              <w:rPr>
                <w:sz w:val="2"/>
                <w:szCs w:val="2"/>
              </w:rPr>
            </w:pPr>
          </w:p>
        </w:tc>
        <w:tc>
          <w:tcPr>
            <w:tcW w:w="113" w:type="dxa"/>
            <w:vMerge/>
            <w:tcBorders>
              <w:top w:val="nil"/>
              <w:right w:val="single" w:sz="4" w:space="0" w:color="000000"/>
            </w:tcBorders>
          </w:tcPr>
          <w:p w14:paraId="7DC6FEDB" w14:textId="77777777" w:rsidR="00C47BC8" w:rsidRDefault="00C47BC8">
            <w:pPr>
              <w:rPr>
                <w:sz w:val="2"/>
                <w:szCs w:val="2"/>
              </w:rPr>
            </w:pPr>
          </w:p>
        </w:tc>
        <w:tc>
          <w:tcPr>
            <w:tcW w:w="988" w:type="dxa"/>
            <w:tcBorders>
              <w:top w:val="single" w:sz="4" w:space="0" w:color="000000"/>
              <w:left w:val="single" w:sz="4" w:space="0" w:color="000000"/>
              <w:bottom w:val="single" w:sz="4" w:space="0" w:color="000000"/>
              <w:right w:val="single" w:sz="4" w:space="0" w:color="000000"/>
            </w:tcBorders>
          </w:tcPr>
          <w:p w14:paraId="562C052D" w14:textId="77777777" w:rsidR="00C47BC8" w:rsidRDefault="00606574">
            <w:pPr>
              <w:pStyle w:val="TableParagraph"/>
              <w:spacing w:line="141" w:lineRule="exact"/>
              <w:ind w:left="107"/>
              <w:rPr>
                <w:sz w:val="14"/>
              </w:rPr>
            </w:pPr>
            <w:r>
              <w:rPr>
                <w:spacing w:val="-2"/>
                <w:sz w:val="12"/>
              </w:rPr>
              <w:t>Rifiuti</w:t>
            </w:r>
          </w:p>
        </w:tc>
        <w:tc>
          <w:tcPr>
            <w:tcW w:w="2750" w:type="dxa"/>
            <w:tcBorders>
              <w:top w:val="single" w:sz="4" w:space="0" w:color="000000"/>
              <w:left w:val="single" w:sz="4" w:space="0" w:color="000000"/>
              <w:bottom w:val="single" w:sz="4" w:space="0" w:color="000000"/>
              <w:right w:val="single" w:sz="4" w:space="0" w:color="000000"/>
            </w:tcBorders>
          </w:tcPr>
          <w:p w14:paraId="71CF85A8" w14:textId="77777777" w:rsidR="00C47BC8" w:rsidRDefault="00606574">
            <w:pPr>
              <w:pStyle w:val="TableParagraph"/>
              <w:spacing w:line="141" w:lineRule="exact"/>
              <w:ind w:left="105"/>
              <w:rPr>
                <w:sz w:val="14"/>
              </w:rPr>
            </w:pPr>
            <w:r>
              <w:rPr>
                <w:sz w:val="12"/>
              </w:rPr>
              <w:t>9. Rifiuti pericolosi</w:t>
            </w:r>
          </w:p>
        </w:tc>
        <w:tc>
          <w:tcPr>
            <w:tcW w:w="1174" w:type="dxa"/>
            <w:tcBorders>
              <w:top w:val="single" w:sz="4" w:space="0" w:color="000000"/>
              <w:left w:val="single" w:sz="4" w:space="0" w:color="000000"/>
              <w:bottom w:val="single" w:sz="4" w:space="0" w:color="000000"/>
              <w:right w:val="single" w:sz="4" w:space="0" w:color="000000"/>
            </w:tcBorders>
          </w:tcPr>
          <w:p w14:paraId="414776F7" w14:textId="77777777" w:rsidR="00C47BC8" w:rsidRDefault="00C47BC8">
            <w:pPr>
              <w:pStyle w:val="TableParagraph"/>
              <w:rPr>
                <w:rFonts w:ascii="Times New Roman"/>
                <w:sz w:val="10"/>
              </w:rPr>
            </w:pPr>
          </w:p>
        </w:tc>
        <w:tc>
          <w:tcPr>
            <w:tcW w:w="1019" w:type="dxa"/>
            <w:tcBorders>
              <w:top w:val="single" w:sz="4" w:space="0" w:color="000000"/>
              <w:left w:val="single" w:sz="4" w:space="0" w:color="000000"/>
              <w:bottom w:val="single" w:sz="4" w:space="0" w:color="000000"/>
              <w:right w:val="single" w:sz="4" w:space="0" w:color="000000"/>
            </w:tcBorders>
          </w:tcPr>
          <w:p w14:paraId="6DABC229" w14:textId="77777777" w:rsidR="00C47BC8" w:rsidRDefault="00606574">
            <w:pPr>
              <w:pStyle w:val="TableParagraph"/>
              <w:spacing w:line="141" w:lineRule="exact"/>
              <w:ind w:left="3"/>
              <w:jc w:val="center"/>
              <w:rPr>
                <w:sz w:val="14"/>
              </w:rPr>
            </w:pPr>
            <w:r>
              <w:rPr>
                <w:spacing w:val="-10"/>
                <w:sz w:val="12"/>
              </w:rPr>
              <w:t>X</w:t>
            </w:r>
          </w:p>
        </w:tc>
        <w:tc>
          <w:tcPr>
            <w:tcW w:w="1020" w:type="dxa"/>
            <w:tcBorders>
              <w:top w:val="single" w:sz="4" w:space="0" w:color="000000"/>
              <w:left w:val="single" w:sz="4" w:space="0" w:color="000000"/>
              <w:bottom w:val="single" w:sz="4" w:space="0" w:color="000000"/>
              <w:right w:val="single" w:sz="4" w:space="0" w:color="000000"/>
            </w:tcBorders>
          </w:tcPr>
          <w:p w14:paraId="71449654" w14:textId="77777777" w:rsidR="00C47BC8" w:rsidRDefault="00C47BC8">
            <w:pPr>
              <w:pStyle w:val="TableParagraph"/>
              <w:rPr>
                <w:rFonts w:ascii="Times New Roman"/>
                <w:sz w:val="10"/>
              </w:rPr>
            </w:pPr>
          </w:p>
        </w:tc>
        <w:tc>
          <w:tcPr>
            <w:tcW w:w="1097" w:type="dxa"/>
            <w:tcBorders>
              <w:top w:val="single" w:sz="4" w:space="0" w:color="000000"/>
              <w:left w:val="single" w:sz="4" w:space="0" w:color="000000"/>
              <w:bottom w:val="single" w:sz="4" w:space="0" w:color="000000"/>
              <w:right w:val="single" w:sz="4" w:space="0" w:color="000000"/>
            </w:tcBorders>
          </w:tcPr>
          <w:p w14:paraId="6F480308" w14:textId="77777777" w:rsidR="00C47BC8" w:rsidRDefault="00C47BC8">
            <w:pPr>
              <w:pStyle w:val="TableParagraph"/>
              <w:rPr>
                <w:rFonts w:ascii="Times New Roman"/>
                <w:sz w:val="10"/>
              </w:rPr>
            </w:pPr>
          </w:p>
        </w:tc>
        <w:tc>
          <w:tcPr>
            <w:tcW w:w="345" w:type="dxa"/>
            <w:vMerge/>
            <w:tcBorders>
              <w:top w:val="nil"/>
              <w:left w:val="single" w:sz="4" w:space="0" w:color="000000"/>
            </w:tcBorders>
          </w:tcPr>
          <w:p w14:paraId="38A9471D" w14:textId="77777777" w:rsidR="00C47BC8" w:rsidRDefault="00C47BC8">
            <w:pPr>
              <w:rPr>
                <w:sz w:val="2"/>
                <w:szCs w:val="2"/>
              </w:rPr>
            </w:pPr>
          </w:p>
        </w:tc>
      </w:tr>
      <w:tr w:rsidR="00C47BC8" w14:paraId="09A8803C" w14:textId="77777777">
        <w:trPr>
          <w:trHeight w:val="299"/>
        </w:trPr>
        <w:tc>
          <w:tcPr>
            <w:tcW w:w="2440" w:type="dxa"/>
            <w:vMerge/>
            <w:tcBorders>
              <w:top w:val="nil"/>
            </w:tcBorders>
          </w:tcPr>
          <w:p w14:paraId="6A5CBD1A" w14:textId="77777777" w:rsidR="00C47BC8" w:rsidRDefault="00C47BC8">
            <w:pPr>
              <w:rPr>
                <w:sz w:val="2"/>
                <w:szCs w:val="2"/>
              </w:rPr>
            </w:pPr>
          </w:p>
        </w:tc>
        <w:tc>
          <w:tcPr>
            <w:tcW w:w="408" w:type="dxa"/>
            <w:vMerge/>
            <w:tcBorders>
              <w:top w:val="nil"/>
            </w:tcBorders>
          </w:tcPr>
          <w:p w14:paraId="02CF6FEE" w14:textId="77777777" w:rsidR="00C47BC8" w:rsidRDefault="00C47BC8">
            <w:pPr>
              <w:rPr>
                <w:sz w:val="2"/>
                <w:szCs w:val="2"/>
              </w:rPr>
            </w:pPr>
          </w:p>
        </w:tc>
        <w:tc>
          <w:tcPr>
            <w:tcW w:w="113" w:type="dxa"/>
            <w:vMerge/>
            <w:tcBorders>
              <w:top w:val="nil"/>
              <w:right w:val="single" w:sz="4" w:space="0" w:color="000000"/>
            </w:tcBorders>
          </w:tcPr>
          <w:p w14:paraId="6B05BCFF" w14:textId="77777777" w:rsidR="00C47BC8" w:rsidRDefault="00C47BC8">
            <w:pPr>
              <w:rPr>
                <w:sz w:val="2"/>
                <w:szCs w:val="2"/>
              </w:rPr>
            </w:pPr>
          </w:p>
        </w:tc>
        <w:tc>
          <w:tcPr>
            <w:tcW w:w="988" w:type="dxa"/>
            <w:vMerge w:val="restart"/>
            <w:tcBorders>
              <w:top w:val="single" w:sz="4" w:space="0" w:color="000000"/>
              <w:left w:val="single" w:sz="4" w:space="0" w:color="000000"/>
              <w:bottom w:val="single" w:sz="8" w:space="0" w:color="E8E8E8"/>
              <w:right w:val="single" w:sz="4" w:space="0" w:color="000000"/>
            </w:tcBorders>
          </w:tcPr>
          <w:p w14:paraId="5630840A" w14:textId="77777777" w:rsidR="00C47BC8" w:rsidRDefault="00606574">
            <w:pPr>
              <w:pStyle w:val="TableParagraph"/>
              <w:ind w:left="107" w:right="93"/>
              <w:rPr>
                <w:sz w:val="14"/>
              </w:rPr>
            </w:pPr>
            <w:r>
              <w:rPr>
                <w:sz w:val="12"/>
              </w:rPr>
              <w:t>Questioni sociali e relative ai dipendenti</w:t>
            </w:r>
          </w:p>
        </w:tc>
        <w:tc>
          <w:tcPr>
            <w:tcW w:w="2750" w:type="dxa"/>
            <w:tcBorders>
              <w:top w:val="single" w:sz="4" w:space="0" w:color="000000"/>
              <w:left w:val="single" w:sz="4" w:space="0" w:color="000000"/>
              <w:bottom w:val="single" w:sz="4" w:space="0" w:color="000000"/>
              <w:right w:val="single" w:sz="4" w:space="0" w:color="000000"/>
            </w:tcBorders>
          </w:tcPr>
          <w:p w14:paraId="1E4658B7" w14:textId="77777777" w:rsidR="00C47BC8" w:rsidRDefault="00606574">
            <w:pPr>
              <w:pStyle w:val="TableParagraph"/>
              <w:spacing w:line="160" w:lineRule="exact"/>
              <w:ind w:left="105"/>
              <w:rPr>
                <w:sz w:val="14"/>
              </w:rPr>
            </w:pPr>
            <w:r>
              <w:rPr>
                <w:sz w:val="12"/>
              </w:rPr>
              <w:t>10. Violazioni dell'UNGC e dell'OCSE</w:t>
            </w:r>
          </w:p>
        </w:tc>
        <w:tc>
          <w:tcPr>
            <w:tcW w:w="1174" w:type="dxa"/>
            <w:tcBorders>
              <w:top w:val="single" w:sz="4" w:space="0" w:color="000000"/>
              <w:left w:val="single" w:sz="4" w:space="0" w:color="000000"/>
              <w:bottom w:val="single" w:sz="4" w:space="0" w:color="000000"/>
              <w:right w:val="single" w:sz="4" w:space="0" w:color="000000"/>
            </w:tcBorders>
          </w:tcPr>
          <w:p w14:paraId="0BC6193C" w14:textId="77777777" w:rsidR="00C47BC8" w:rsidRDefault="00C47BC8">
            <w:pPr>
              <w:pStyle w:val="TableParagraph"/>
              <w:rPr>
                <w:rFonts w:ascii="Times New Roman"/>
                <w:sz w:val="18"/>
              </w:rPr>
            </w:pPr>
          </w:p>
        </w:tc>
        <w:tc>
          <w:tcPr>
            <w:tcW w:w="1019" w:type="dxa"/>
            <w:tcBorders>
              <w:top w:val="single" w:sz="4" w:space="0" w:color="000000"/>
              <w:left w:val="single" w:sz="4" w:space="0" w:color="000000"/>
              <w:bottom w:val="single" w:sz="4" w:space="0" w:color="000000"/>
              <w:right w:val="single" w:sz="4" w:space="0" w:color="000000"/>
            </w:tcBorders>
          </w:tcPr>
          <w:p w14:paraId="49C2C17A" w14:textId="77777777" w:rsidR="00C47BC8" w:rsidRDefault="00C47BC8">
            <w:pPr>
              <w:pStyle w:val="TableParagraph"/>
              <w:rPr>
                <w:rFonts w:ascii="Times New Roman"/>
                <w:sz w:val="18"/>
              </w:rPr>
            </w:pPr>
          </w:p>
        </w:tc>
        <w:tc>
          <w:tcPr>
            <w:tcW w:w="1020" w:type="dxa"/>
            <w:tcBorders>
              <w:top w:val="single" w:sz="4" w:space="0" w:color="000000"/>
              <w:left w:val="single" w:sz="4" w:space="0" w:color="000000"/>
              <w:bottom w:val="single" w:sz="4" w:space="0" w:color="000000"/>
              <w:right w:val="single" w:sz="4" w:space="0" w:color="000000"/>
            </w:tcBorders>
          </w:tcPr>
          <w:p w14:paraId="4F854561" w14:textId="77777777" w:rsidR="00C47BC8" w:rsidRDefault="00606574">
            <w:pPr>
              <w:pStyle w:val="TableParagraph"/>
              <w:spacing w:line="160" w:lineRule="exact"/>
              <w:jc w:val="center"/>
              <w:rPr>
                <w:sz w:val="14"/>
              </w:rPr>
            </w:pPr>
            <w:r>
              <w:rPr>
                <w:spacing w:val="-10"/>
                <w:sz w:val="12"/>
              </w:rPr>
              <w:t>X</w:t>
            </w:r>
          </w:p>
        </w:tc>
        <w:tc>
          <w:tcPr>
            <w:tcW w:w="1097" w:type="dxa"/>
            <w:tcBorders>
              <w:top w:val="single" w:sz="4" w:space="0" w:color="000000"/>
              <w:left w:val="single" w:sz="4" w:space="0" w:color="000000"/>
              <w:bottom w:val="single" w:sz="4" w:space="0" w:color="000000"/>
              <w:right w:val="single" w:sz="4" w:space="0" w:color="000000"/>
            </w:tcBorders>
          </w:tcPr>
          <w:p w14:paraId="46C36ED5" w14:textId="77777777" w:rsidR="00C47BC8" w:rsidRDefault="00C47BC8">
            <w:pPr>
              <w:pStyle w:val="TableParagraph"/>
              <w:rPr>
                <w:rFonts w:ascii="Times New Roman"/>
                <w:sz w:val="18"/>
              </w:rPr>
            </w:pPr>
          </w:p>
        </w:tc>
        <w:tc>
          <w:tcPr>
            <w:tcW w:w="345" w:type="dxa"/>
            <w:vMerge/>
            <w:tcBorders>
              <w:top w:val="nil"/>
              <w:left w:val="single" w:sz="4" w:space="0" w:color="000000"/>
            </w:tcBorders>
          </w:tcPr>
          <w:p w14:paraId="527FBDFD" w14:textId="77777777" w:rsidR="00C47BC8" w:rsidRDefault="00C47BC8">
            <w:pPr>
              <w:rPr>
                <w:sz w:val="2"/>
                <w:szCs w:val="2"/>
              </w:rPr>
            </w:pPr>
          </w:p>
        </w:tc>
      </w:tr>
      <w:tr w:rsidR="00C47BC8" w14:paraId="524BF1B3" w14:textId="77777777">
        <w:trPr>
          <w:trHeight w:val="150"/>
        </w:trPr>
        <w:tc>
          <w:tcPr>
            <w:tcW w:w="2440" w:type="dxa"/>
            <w:vMerge/>
            <w:tcBorders>
              <w:top w:val="nil"/>
            </w:tcBorders>
          </w:tcPr>
          <w:p w14:paraId="204C31CD" w14:textId="77777777" w:rsidR="00C47BC8" w:rsidRDefault="00C47BC8">
            <w:pPr>
              <w:rPr>
                <w:sz w:val="2"/>
                <w:szCs w:val="2"/>
              </w:rPr>
            </w:pPr>
          </w:p>
        </w:tc>
        <w:tc>
          <w:tcPr>
            <w:tcW w:w="408" w:type="dxa"/>
            <w:vMerge/>
            <w:tcBorders>
              <w:top w:val="nil"/>
            </w:tcBorders>
          </w:tcPr>
          <w:p w14:paraId="261F3B33" w14:textId="77777777" w:rsidR="00C47BC8" w:rsidRDefault="00C47BC8">
            <w:pPr>
              <w:rPr>
                <w:sz w:val="2"/>
                <w:szCs w:val="2"/>
              </w:rPr>
            </w:pPr>
          </w:p>
        </w:tc>
        <w:tc>
          <w:tcPr>
            <w:tcW w:w="113" w:type="dxa"/>
            <w:vMerge/>
            <w:tcBorders>
              <w:top w:val="nil"/>
              <w:right w:val="single" w:sz="4" w:space="0" w:color="000000"/>
            </w:tcBorders>
          </w:tcPr>
          <w:p w14:paraId="172ED012" w14:textId="77777777" w:rsidR="00C47BC8" w:rsidRDefault="00C47BC8">
            <w:pPr>
              <w:rPr>
                <w:sz w:val="2"/>
                <w:szCs w:val="2"/>
              </w:rPr>
            </w:pPr>
          </w:p>
        </w:tc>
        <w:tc>
          <w:tcPr>
            <w:tcW w:w="988" w:type="dxa"/>
            <w:vMerge/>
            <w:tcBorders>
              <w:top w:val="nil"/>
              <w:left w:val="single" w:sz="4" w:space="0" w:color="000000"/>
              <w:bottom w:val="single" w:sz="8" w:space="0" w:color="E8E8E8"/>
              <w:right w:val="single" w:sz="4" w:space="0" w:color="000000"/>
            </w:tcBorders>
          </w:tcPr>
          <w:p w14:paraId="79F11362" w14:textId="77777777" w:rsidR="00C47BC8" w:rsidRDefault="00C47BC8">
            <w:pPr>
              <w:rPr>
                <w:sz w:val="2"/>
                <w:szCs w:val="2"/>
              </w:rPr>
            </w:pPr>
          </w:p>
        </w:tc>
        <w:tc>
          <w:tcPr>
            <w:tcW w:w="2750" w:type="dxa"/>
            <w:tcBorders>
              <w:top w:val="single" w:sz="4" w:space="0" w:color="000000"/>
              <w:left w:val="single" w:sz="4" w:space="0" w:color="000000"/>
              <w:bottom w:val="single" w:sz="4" w:space="0" w:color="000000"/>
              <w:right w:val="single" w:sz="4" w:space="0" w:color="000000"/>
            </w:tcBorders>
          </w:tcPr>
          <w:p w14:paraId="3081966E" w14:textId="77777777" w:rsidR="00C47BC8" w:rsidRDefault="00606574">
            <w:pPr>
              <w:pStyle w:val="TableParagraph"/>
              <w:spacing w:line="130" w:lineRule="exact"/>
              <w:ind w:left="105"/>
              <w:rPr>
                <w:sz w:val="14"/>
              </w:rPr>
            </w:pPr>
            <w:r>
              <w:rPr>
                <w:sz w:val="12"/>
              </w:rPr>
              <w:t>11. UNGC + OCSE: Processo, monitoraggio</w:t>
            </w:r>
          </w:p>
        </w:tc>
        <w:tc>
          <w:tcPr>
            <w:tcW w:w="1174" w:type="dxa"/>
            <w:tcBorders>
              <w:top w:val="single" w:sz="4" w:space="0" w:color="000000"/>
              <w:left w:val="single" w:sz="4" w:space="0" w:color="000000"/>
              <w:bottom w:val="single" w:sz="4" w:space="0" w:color="000000"/>
              <w:right w:val="single" w:sz="4" w:space="0" w:color="000000"/>
            </w:tcBorders>
          </w:tcPr>
          <w:p w14:paraId="7674CF4D" w14:textId="77777777" w:rsidR="00C47BC8" w:rsidRDefault="00C47BC8">
            <w:pPr>
              <w:pStyle w:val="TableParagraph"/>
              <w:rPr>
                <w:rFonts w:ascii="Times New Roman"/>
                <w:sz w:val="8"/>
              </w:rPr>
            </w:pPr>
          </w:p>
        </w:tc>
        <w:tc>
          <w:tcPr>
            <w:tcW w:w="1019" w:type="dxa"/>
            <w:tcBorders>
              <w:top w:val="single" w:sz="4" w:space="0" w:color="000000"/>
              <w:left w:val="single" w:sz="4" w:space="0" w:color="000000"/>
              <w:bottom w:val="single" w:sz="4" w:space="0" w:color="000000"/>
              <w:right w:val="single" w:sz="4" w:space="0" w:color="000000"/>
            </w:tcBorders>
          </w:tcPr>
          <w:p w14:paraId="7A41B8E7" w14:textId="77777777" w:rsidR="00C47BC8" w:rsidRDefault="00C47BC8">
            <w:pPr>
              <w:pStyle w:val="TableParagraph"/>
              <w:rPr>
                <w:rFonts w:ascii="Times New Roman"/>
                <w:sz w:val="8"/>
              </w:rPr>
            </w:pPr>
          </w:p>
        </w:tc>
        <w:tc>
          <w:tcPr>
            <w:tcW w:w="1020" w:type="dxa"/>
            <w:tcBorders>
              <w:top w:val="single" w:sz="4" w:space="0" w:color="000000"/>
              <w:left w:val="single" w:sz="4" w:space="0" w:color="000000"/>
              <w:bottom w:val="single" w:sz="4" w:space="0" w:color="000000"/>
              <w:right w:val="single" w:sz="4" w:space="0" w:color="000000"/>
            </w:tcBorders>
          </w:tcPr>
          <w:p w14:paraId="465F608A" w14:textId="77777777" w:rsidR="00C47BC8" w:rsidRDefault="00C47BC8">
            <w:pPr>
              <w:pStyle w:val="TableParagraph"/>
              <w:rPr>
                <w:rFonts w:ascii="Times New Roman"/>
                <w:sz w:val="8"/>
              </w:rPr>
            </w:pPr>
          </w:p>
        </w:tc>
        <w:tc>
          <w:tcPr>
            <w:tcW w:w="1097" w:type="dxa"/>
            <w:tcBorders>
              <w:top w:val="single" w:sz="4" w:space="0" w:color="000000"/>
              <w:left w:val="single" w:sz="4" w:space="0" w:color="000000"/>
              <w:bottom w:val="single" w:sz="4" w:space="0" w:color="000000"/>
              <w:right w:val="single" w:sz="4" w:space="0" w:color="000000"/>
            </w:tcBorders>
          </w:tcPr>
          <w:p w14:paraId="54077A41" w14:textId="77777777" w:rsidR="00C47BC8" w:rsidRDefault="00C47BC8">
            <w:pPr>
              <w:pStyle w:val="TableParagraph"/>
              <w:rPr>
                <w:rFonts w:ascii="Times New Roman"/>
                <w:sz w:val="8"/>
              </w:rPr>
            </w:pPr>
          </w:p>
        </w:tc>
        <w:tc>
          <w:tcPr>
            <w:tcW w:w="345" w:type="dxa"/>
            <w:vMerge/>
            <w:tcBorders>
              <w:top w:val="nil"/>
              <w:left w:val="single" w:sz="4" w:space="0" w:color="000000"/>
            </w:tcBorders>
          </w:tcPr>
          <w:p w14:paraId="3DE9ED93" w14:textId="77777777" w:rsidR="00C47BC8" w:rsidRDefault="00C47BC8">
            <w:pPr>
              <w:rPr>
                <w:sz w:val="2"/>
                <w:szCs w:val="2"/>
              </w:rPr>
            </w:pPr>
          </w:p>
        </w:tc>
      </w:tr>
      <w:tr w:rsidR="00C47BC8" w14:paraId="1BEDA22C" w14:textId="77777777">
        <w:trPr>
          <w:trHeight w:val="151"/>
        </w:trPr>
        <w:tc>
          <w:tcPr>
            <w:tcW w:w="2440" w:type="dxa"/>
            <w:vMerge/>
            <w:tcBorders>
              <w:top w:val="nil"/>
            </w:tcBorders>
          </w:tcPr>
          <w:p w14:paraId="46843CF0" w14:textId="77777777" w:rsidR="00C47BC8" w:rsidRDefault="00C47BC8">
            <w:pPr>
              <w:rPr>
                <w:sz w:val="2"/>
                <w:szCs w:val="2"/>
              </w:rPr>
            </w:pPr>
          </w:p>
        </w:tc>
        <w:tc>
          <w:tcPr>
            <w:tcW w:w="408" w:type="dxa"/>
            <w:vMerge/>
            <w:tcBorders>
              <w:top w:val="nil"/>
            </w:tcBorders>
          </w:tcPr>
          <w:p w14:paraId="5A22A604" w14:textId="77777777" w:rsidR="00C47BC8" w:rsidRDefault="00C47BC8">
            <w:pPr>
              <w:rPr>
                <w:sz w:val="2"/>
                <w:szCs w:val="2"/>
              </w:rPr>
            </w:pPr>
          </w:p>
        </w:tc>
        <w:tc>
          <w:tcPr>
            <w:tcW w:w="113" w:type="dxa"/>
            <w:vMerge/>
            <w:tcBorders>
              <w:top w:val="nil"/>
              <w:right w:val="single" w:sz="4" w:space="0" w:color="000000"/>
            </w:tcBorders>
          </w:tcPr>
          <w:p w14:paraId="7E47D7B1" w14:textId="77777777" w:rsidR="00C47BC8" w:rsidRDefault="00C47BC8">
            <w:pPr>
              <w:rPr>
                <w:sz w:val="2"/>
                <w:szCs w:val="2"/>
              </w:rPr>
            </w:pPr>
          </w:p>
        </w:tc>
        <w:tc>
          <w:tcPr>
            <w:tcW w:w="988" w:type="dxa"/>
            <w:vMerge/>
            <w:tcBorders>
              <w:top w:val="nil"/>
              <w:left w:val="single" w:sz="4" w:space="0" w:color="000000"/>
              <w:bottom w:val="single" w:sz="8" w:space="0" w:color="E8E8E8"/>
              <w:right w:val="single" w:sz="4" w:space="0" w:color="000000"/>
            </w:tcBorders>
          </w:tcPr>
          <w:p w14:paraId="252AA540" w14:textId="77777777" w:rsidR="00C47BC8" w:rsidRDefault="00C47BC8">
            <w:pPr>
              <w:rPr>
                <w:sz w:val="2"/>
                <w:szCs w:val="2"/>
              </w:rPr>
            </w:pPr>
          </w:p>
        </w:tc>
        <w:tc>
          <w:tcPr>
            <w:tcW w:w="2750" w:type="dxa"/>
            <w:tcBorders>
              <w:top w:val="single" w:sz="4" w:space="0" w:color="000000"/>
              <w:left w:val="single" w:sz="4" w:space="0" w:color="000000"/>
              <w:bottom w:val="single" w:sz="4" w:space="0" w:color="000000"/>
              <w:right w:val="single" w:sz="4" w:space="0" w:color="000000"/>
            </w:tcBorders>
          </w:tcPr>
          <w:p w14:paraId="70125D24" w14:textId="77777777" w:rsidR="00C47BC8" w:rsidRDefault="00606574">
            <w:pPr>
              <w:pStyle w:val="TableParagraph"/>
              <w:spacing w:line="132" w:lineRule="exact"/>
              <w:ind w:left="105"/>
              <w:rPr>
                <w:sz w:val="14"/>
              </w:rPr>
            </w:pPr>
            <w:r>
              <w:rPr>
                <w:sz w:val="12"/>
              </w:rPr>
              <w:t>12. Divario retributivo di genere non corretto</w:t>
            </w:r>
          </w:p>
        </w:tc>
        <w:tc>
          <w:tcPr>
            <w:tcW w:w="1174" w:type="dxa"/>
            <w:tcBorders>
              <w:top w:val="single" w:sz="4" w:space="0" w:color="000000"/>
              <w:left w:val="single" w:sz="4" w:space="0" w:color="000000"/>
              <w:bottom w:val="single" w:sz="4" w:space="0" w:color="000000"/>
              <w:right w:val="single" w:sz="4" w:space="0" w:color="000000"/>
            </w:tcBorders>
          </w:tcPr>
          <w:p w14:paraId="0B8C2691" w14:textId="77777777" w:rsidR="00C47BC8" w:rsidRDefault="00C47BC8">
            <w:pPr>
              <w:pStyle w:val="TableParagraph"/>
              <w:rPr>
                <w:rFonts w:ascii="Times New Roman"/>
                <w:sz w:val="8"/>
              </w:rPr>
            </w:pPr>
          </w:p>
        </w:tc>
        <w:tc>
          <w:tcPr>
            <w:tcW w:w="1019" w:type="dxa"/>
            <w:tcBorders>
              <w:top w:val="single" w:sz="4" w:space="0" w:color="000000"/>
              <w:left w:val="single" w:sz="4" w:space="0" w:color="000000"/>
              <w:bottom w:val="single" w:sz="4" w:space="0" w:color="000000"/>
              <w:right w:val="single" w:sz="4" w:space="0" w:color="000000"/>
            </w:tcBorders>
          </w:tcPr>
          <w:p w14:paraId="1AB03F27" w14:textId="77777777" w:rsidR="00C47BC8" w:rsidRDefault="00C47BC8">
            <w:pPr>
              <w:pStyle w:val="TableParagraph"/>
              <w:rPr>
                <w:rFonts w:ascii="Times New Roman"/>
                <w:sz w:val="8"/>
              </w:rPr>
            </w:pPr>
          </w:p>
        </w:tc>
        <w:tc>
          <w:tcPr>
            <w:tcW w:w="1020" w:type="dxa"/>
            <w:tcBorders>
              <w:top w:val="single" w:sz="4" w:space="0" w:color="000000"/>
              <w:left w:val="single" w:sz="4" w:space="0" w:color="000000"/>
              <w:bottom w:val="single" w:sz="4" w:space="0" w:color="000000"/>
              <w:right w:val="single" w:sz="4" w:space="0" w:color="000000"/>
            </w:tcBorders>
          </w:tcPr>
          <w:p w14:paraId="767370AA" w14:textId="77777777" w:rsidR="00C47BC8" w:rsidRDefault="00C47BC8">
            <w:pPr>
              <w:pStyle w:val="TableParagraph"/>
              <w:rPr>
                <w:rFonts w:ascii="Times New Roman"/>
                <w:sz w:val="8"/>
              </w:rPr>
            </w:pPr>
          </w:p>
        </w:tc>
        <w:tc>
          <w:tcPr>
            <w:tcW w:w="1097" w:type="dxa"/>
            <w:tcBorders>
              <w:top w:val="single" w:sz="4" w:space="0" w:color="000000"/>
              <w:left w:val="single" w:sz="4" w:space="0" w:color="000000"/>
              <w:bottom w:val="single" w:sz="4" w:space="0" w:color="000000"/>
              <w:right w:val="single" w:sz="4" w:space="0" w:color="000000"/>
            </w:tcBorders>
          </w:tcPr>
          <w:p w14:paraId="45B61E1F" w14:textId="77777777" w:rsidR="00C47BC8" w:rsidRDefault="00C47BC8">
            <w:pPr>
              <w:pStyle w:val="TableParagraph"/>
              <w:rPr>
                <w:rFonts w:ascii="Times New Roman"/>
                <w:sz w:val="8"/>
              </w:rPr>
            </w:pPr>
          </w:p>
        </w:tc>
        <w:tc>
          <w:tcPr>
            <w:tcW w:w="345" w:type="dxa"/>
            <w:vMerge/>
            <w:tcBorders>
              <w:top w:val="nil"/>
              <w:left w:val="single" w:sz="4" w:space="0" w:color="000000"/>
            </w:tcBorders>
          </w:tcPr>
          <w:p w14:paraId="76AE688B" w14:textId="77777777" w:rsidR="00C47BC8" w:rsidRDefault="00C47BC8">
            <w:pPr>
              <w:rPr>
                <w:sz w:val="2"/>
                <w:szCs w:val="2"/>
              </w:rPr>
            </w:pPr>
          </w:p>
        </w:tc>
      </w:tr>
      <w:tr w:rsidR="00C47BC8" w14:paraId="794DB4D5" w14:textId="77777777">
        <w:trPr>
          <w:trHeight w:val="150"/>
        </w:trPr>
        <w:tc>
          <w:tcPr>
            <w:tcW w:w="2440" w:type="dxa"/>
            <w:vMerge/>
            <w:tcBorders>
              <w:top w:val="nil"/>
            </w:tcBorders>
          </w:tcPr>
          <w:p w14:paraId="06732743" w14:textId="77777777" w:rsidR="00C47BC8" w:rsidRDefault="00C47BC8">
            <w:pPr>
              <w:rPr>
                <w:sz w:val="2"/>
                <w:szCs w:val="2"/>
              </w:rPr>
            </w:pPr>
          </w:p>
        </w:tc>
        <w:tc>
          <w:tcPr>
            <w:tcW w:w="408" w:type="dxa"/>
            <w:vMerge/>
            <w:tcBorders>
              <w:top w:val="nil"/>
            </w:tcBorders>
          </w:tcPr>
          <w:p w14:paraId="0AB5EE70" w14:textId="77777777" w:rsidR="00C47BC8" w:rsidRDefault="00C47BC8">
            <w:pPr>
              <w:rPr>
                <w:sz w:val="2"/>
                <w:szCs w:val="2"/>
              </w:rPr>
            </w:pPr>
          </w:p>
        </w:tc>
        <w:tc>
          <w:tcPr>
            <w:tcW w:w="113" w:type="dxa"/>
            <w:vMerge/>
            <w:tcBorders>
              <w:top w:val="nil"/>
              <w:right w:val="single" w:sz="4" w:space="0" w:color="000000"/>
            </w:tcBorders>
          </w:tcPr>
          <w:p w14:paraId="008901E7" w14:textId="77777777" w:rsidR="00C47BC8" w:rsidRDefault="00C47BC8">
            <w:pPr>
              <w:rPr>
                <w:sz w:val="2"/>
                <w:szCs w:val="2"/>
              </w:rPr>
            </w:pPr>
          </w:p>
        </w:tc>
        <w:tc>
          <w:tcPr>
            <w:tcW w:w="988" w:type="dxa"/>
            <w:vMerge/>
            <w:tcBorders>
              <w:top w:val="nil"/>
              <w:left w:val="single" w:sz="4" w:space="0" w:color="000000"/>
              <w:bottom w:val="single" w:sz="8" w:space="0" w:color="E8E8E8"/>
              <w:right w:val="single" w:sz="4" w:space="0" w:color="000000"/>
            </w:tcBorders>
          </w:tcPr>
          <w:p w14:paraId="231AABC6" w14:textId="77777777" w:rsidR="00C47BC8" w:rsidRDefault="00C47BC8">
            <w:pPr>
              <w:rPr>
                <w:sz w:val="2"/>
                <w:szCs w:val="2"/>
              </w:rPr>
            </w:pPr>
          </w:p>
        </w:tc>
        <w:tc>
          <w:tcPr>
            <w:tcW w:w="2750" w:type="dxa"/>
            <w:tcBorders>
              <w:top w:val="single" w:sz="4" w:space="0" w:color="000000"/>
              <w:left w:val="single" w:sz="4" w:space="0" w:color="000000"/>
              <w:bottom w:val="single" w:sz="4" w:space="0" w:color="000000"/>
              <w:right w:val="single" w:sz="4" w:space="0" w:color="000000"/>
            </w:tcBorders>
          </w:tcPr>
          <w:p w14:paraId="513C8EE4" w14:textId="77777777" w:rsidR="00C47BC8" w:rsidRDefault="00606574">
            <w:pPr>
              <w:pStyle w:val="TableParagraph"/>
              <w:spacing w:line="130" w:lineRule="exact"/>
              <w:ind w:left="105"/>
              <w:rPr>
                <w:sz w:val="14"/>
              </w:rPr>
            </w:pPr>
            <w:r>
              <w:rPr>
                <w:sz w:val="12"/>
              </w:rPr>
              <w:t>13. Diversità di genere nel consiglio di amministrazione</w:t>
            </w:r>
          </w:p>
        </w:tc>
        <w:tc>
          <w:tcPr>
            <w:tcW w:w="1174" w:type="dxa"/>
            <w:tcBorders>
              <w:top w:val="single" w:sz="4" w:space="0" w:color="000000"/>
              <w:left w:val="single" w:sz="4" w:space="0" w:color="000000"/>
              <w:bottom w:val="single" w:sz="4" w:space="0" w:color="000000"/>
              <w:right w:val="single" w:sz="4" w:space="0" w:color="000000"/>
            </w:tcBorders>
          </w:tcPr>
          <w:p w14:paraId="1B429C81" w14:textId="77777777" w:rsidR="00C47BC8" w:rsidRDefault="00C47BC8">
            <w:pPr>
              <w:pStyle w:val="TableParagraph"/>
              <w:rPr>
                <w:rFonts w:ascii="Times New Roman"/>
                <w:sz w:val="8"/>
              </w:rPr>
            </w:pPr>
          </w:p>
        </w:tc>
        <w:tc>
          <w:tcPr>
            <w:tcW w:w="1019" w:type="dxa"/>
            <w:tcBorders>
              <w:top w:val="single" w:sz="4" w:space="0" w:color="000000"/>
              <w:left w:val="single" w:sz="4" w:space="0" w:color="000000"/>
              <w:bottom w:val="single" w:sz="4" w:space="0" w:color="000000"/>
              <w:right w:val="single" w:sz="4" w:space="0" w:color="000000"/>
            </w:tcBorders>
          </w:tcPr>
          <w:p w14:paraId="657AD096" w14:textId="77777777" w:rsidR="00C47BC8" w:rsidRDefault="00C47BC8">
            <w:pPr>
              <w:pStyle w:val="TableParagraph"/>
              <w:rPr>
                <w:rFonts w:ascii="Times New Roman"/>
                <w:sz w:val="8"/>
              </w:rPr>
            </w:pPr>
          </w:p>
        </w:tc>
        <w:tc>
          <w:tcPr>
            <w:tcW w:w="1020" w:type="dxa"/>
            <w:tcBorders>
              <w:top w:val="single" w:sz="4" w:space="0" w:color="000000"/>
              <w:left w:val="single" w:sz="4" w:space="0" w:color="000000"/>
              <w:bottom w:val="single" w:sz="4" w:space="0" w:color="000000"/>
              <w:right w:val="single" w:sz="4" w:space="0" w:color="000000"/>
            </w:tcBorders>
          </w:tcPr>
          <w:p w14:paraId="33A0EE86" w14:textId="77777777" w:rsidR="00C47BC8" w:rsidRDefault="00C47BC8">
            <w:pPr>
              <w:pStyle w:val="TableParagraph"/>
              <w:rPr>
                <w:rFonts w:ascii="Times New Roman"/>
                <w:sz w:val="8"/>
              </w:rPr>
            </w:pPr>
          </w:p>
        </w:tc>
        <w:tc>
          <w:tcPr>
            <w:tcW w:w="1097" w:type="dxa"/>
            <w:tcBorders>
              <w:top w:val="single" w:sz="4" w:space="0" w:color="000000"/>
              <w:left w:val="single" w:sz="4" w:space="0" w:color="000000"/>
              <w:bottom w:val="single" w:sz="4" w:space="0" w:color="000000"/>
              <w:right w:val="single" w:sz="4" w:space="0" w:color="000000"/>
            </w:tcBorders>
          </w:tcPr>
          <w:p w14:paraId="3FEB50F6" w14:textId="77777777" w:rsidR="00C47BC8" w:rsidRDefault="00C47BC8">
            <w:pPr>
              <w:pStyle w:val="TableParagraph"/>
              <w:rPr>
                <w:rFonts w:ascii="Times New Roman"/>
                <w:sz w:val="8"/>
              </w:rPr>
            </w:pPr>
          </w:p>
        </w:tc>
        <w:tc>
          <w:tcPr>
            <w:tcW w:w="345" w:type="dxa"/>
            <w:vMerge/>
            <w:tcBorders>
              <w:top w:val="nil"/>
              <w:left w:val="single" w:sz="4" w:space="0" w:color="000000"/>
            </w:tcBorders>
          </w:tcPr>
          <w:p w14:paraId="418DD5BE" w14:textId="77777777" w:rsidR="00C47BC8" w:rsidRDefault="00C47BC8">
            <w:pPr>
              <w:rPr>
                <w:sz w:val="2"/>
                <w:szCs w:val="2"/>
              </w:rPr>
            </w:pPr>
          </w:p>
        </w:tc>
      </w:tr>
      <w:tr w:rsidR="00C47BC8" w14:paraId="7030375F" w14:textId="77777777">
        <w:trPr>
          <w:trHeight w:val="156"/>
        </w:trPr>
        <w:tc>
          <w:tcPr>
            <w:tcW w:w="2440" w:type="dxa"/>
            <w:vMerge/>
            <w:tcBorders>
              <w:top w:val="nil"/>
            </w:tcBorders>
          </w:tcPr>
          <w:p w14:paraId="351F5547" w14:textId="77777777" w:rsidR="00C47BC8" w:rsidRDefault="00C47BC8">
            <w:pPr>
              <w:rPr>
                <w:sz w:val="2"/>
                <w:szCs w:val="2"/>
              </w:rPr>
            </w:pPr>
          </w:p>
        </w:tc>
        <w:tc>
          <w:tcPr>
            <w:tcW w:w="408" w:type="dxa"/>
            <w:vMerge/>
            <w:tcBorders>
              <w:top w:val="nil"/>
            </w:tcBorders>
          </w:tcPr>
          <w:p w14:paraId="0E174F0D" w14:textId="77777777" w:rsidR="00C47BC8" w:rsidRDefault="00C47BC8">
            <w:pPr>
              <w:rPr>
                <w:sz w:val="2"/>
                <w:szCs w:val="2"/>
              </w:rPr>
            </w:pPr>
          </w:p>
        </w:tc>
        <w:tc>
          <w:tcPr>
            <w:tcW w:w="113" w:type="dxa"/>
            <w:vMerge/>
            <w:tcBorders>
              <w:top w:val="nil"/>
              <w:right w:val="single" w:sz="4" w:space="0" w:color="000000"/>
            </w:tcBorders>
          </w:tcPr>
          <w:p w14:paraId="2F40596D" w14:textId="77777777" w:rsidR="00C47BC8" w:rsidRDefault="00C47BC8">
            <w:pPr>
              <w:rPr>
                <w:sz w:val="2"/>
                <w:szCs w:val="2"/>
              </w:rPr>
            </w:pPr>
          </w:p>
        </w:tc>
        <w:tc>
          <w:tcPr>
            <w:tcW w:w="988" w:type="dxa"/>
            <w:vMerge/>
            <w:tcBorders>
              <w:top w:val="nil"/>
              <w:left w:val="single" w:sz="4" w:space="0" w:color="000000"/>
              <w:bottom w:val="single" w:sz="8" w:space="0" w:color="E8E8E8"/>
              <w:right w:val="single" w:sz="4" w:space="0" w:color="000000"/>
            </w:tcBorders>
          </w:tcPr>
          <w:p w14:paraId="52B36ACF" w14:textId="77777777" w:rsidR="00C47BC8" w:rsidRDefault="00C47BC8">
            <w:pPr>
              <w:rPr>
                <w:sz w:val="2"/>
                <w:szCs w:val="2"/>
              </w:rPr>
            </w:pPr>
          </w:p>
        </w:tc>
        <w:tc>
          <w:tcPr>
            <w:tcW w:w="2750" w:type="dxa"/>
            <w:tcBorders>
              <w:top w:val="single" w:sz="4" w:space="0" w:color="000000"/>
              <w:left w:val="single" w:sz="4" w:space="0" w:color="000000"/>
              <w:bottom w:val="single" w:sz="8" w:space="0" w:color="E8E8E8"/>
              <w:right w:val="single" w:sz="4" w:space="0" w:color="000000"/>
            </w:tcBorders>
          </w:tcPr>
          <w:p w14:paraId="48157A97" w14:textId="77777777" w:rsidR="00C47BC8" w:rsidRDefault="00606574">
            <w:pPr>
              <w:pStyle w:val="TableParagraph"/>
              <w:spacing w:line="136" w:lineRule="exact"/>
              <w:ind w:left="105"/>
              <w:rPr>
                <w:sz w:val="14"/>
              </w:rPr>
            </w:pPr>
            <w:r>
              <w:rPr>
                <w:sz w:val="12"/>
              </w:rPr>
              <w:t>14. Armi controverse</w:t>
            </w:r>
          </w:p>
        </w:tc>
        <w:tc>
          <w:tcPr>
            <w:tcW w:w="1174" w:type="dxa"/>
            <w:tcBorders>
              <w:top w:val="single" w:sz="4" w:space="0" w:color="000000"/>
              <w:left w:val="single" w:sz="4" w:space="0" w:color="000000"/>
              <w:bottom w:val="single" w:sz="8" w:space="0" w:color="E8E8E8"/>
              <w:right w:val="single" w:sz="4" w:space="0" w:color="000000"/>
            </w:tcBorders>
          </w:tcPr>
          <w:p w14:paraId="7B0CC234" w14:textId="77777777" w:rsidR="00C47BC8" w:rsidRDefault="00C47BC8">
            <w:pPr>
              <w:pStyle w:val="TableParagraph"/>
              <w:rPr>
                <w:rFonts w:ascii="Times New Roman"/>
                <w:sz w:val="10"/>
              </w:rPr>
            </w:pPr>
          </w:p>
        </w:tc>
        <w:tc>
          <w:tcPr>
            <w:tcW w:w="1019" w:type="dxa"/>
            <w:tcBorders>
              <w:top w:val="single" w:sz="4" w:space="0" w:color="000000"/>
              <w:left w:val="single" w:sz="4" w:space="0" w:color="000000"/>
              <w:bottom w:val="single" w:sz="8" w:space="0" w:color="E8E8E8"/>
              <w:right w:val="single" w:sz="4" w:space="0" w:color="000000"/>
            </w:tcBorders>
          </w:tcPr>
          <w:p w14:paraId="33832C71" w14:textId="77777777" w:rsidR="00C47BC8" w:rsidRDefault="00C47BC8">
            <w:pPr>
              <w:pStyle w:val="TableParagraph"/>
              <w:rPr>
                <w:rFonts w:ascii="Times New Roman"/>
                <w:sz w:val="10"/>
              </w:rPr>
            </w:pPr>
          </w:p>
        </w:tc>
        <w:tc>
          <w:tcPr>
            <w:tcW w:w="1020" w:type="dxa"/>
            <w:tcBorders>
              <w:top w:val="single" w:sz="4" w:space="0" w:color="000000"/>
              <w:left w:val="single" w:sz="4" w:space="0" w:color="000000"/>
              <w:bottom w:val="single" w:sz="8" w:space="0" w:color="E8E8E8"/>
              <w:right w:val="single" w:sz="4" w:space="0" w:color="000000"/>
            </w:tcBorders>
          </w:tcPr>
          <w:p w14:paraId="4A4CC617" w14:textId="77777777" w:rsidR="00C47BC8" w:rsidRDefault="00C47BC8">
            <w:pPr>
              <w:pStyle w:val="TableParagraph"/>
              <w:rPr>
                <w:rFonts w:ascii="Times New Roman"/>
                <w:sz w:val="10"/>
              </w:rPr>
            </w:pPr>
          </w:p>
        </w:tc>
        <w:tc>
          <w:tcPr>
            <w:tcW w:w="1097" w:type="dxa"/>
            <w:tcBorders>
              <w:top w:val="single" w:sz="4" w:space="0" w:color="000000"/>
              <w:left w:val="single" w:sz="4" w:space="0" w:color="000000"/>
              <w:bottom w:val="single" w:sz="8" w:space="0" w:color="E8E8E8"/>
              <w:right w:val="single" w:sz="4" w:space="0" w:color="000000"/>
            </w:tcBorders>
          </w:tcPr>
          <w:p w14:paraId="7E582E6D" w14:textId="77777777" w:rsidR="00C47BC8" w:rsidRDefault="00606574">
            <w:pPr>
              <w:pStyle w:val="TableParagraph"/>
              <w:spacing w:line="136" w:lineRule="exact"/>
              <w:ind w:right="3"/>
              <w:jc w:val="center"/>
              <w:rPr>
                <w:sz w:val="14"/>
              </w:rPr>
            </w:pPr>
            <w:r>
              <w:rPr>
                <w:spacing w:val="-10"/>
                <w:sz w:val="12"/>
              </w:rPr>
              <w:t>X</w:t>
            </w:r>
          </w:p>
        </w:tc>
        <w:tc>
          <w:tcPr>
            <w:tcW w:w="345" w:type="dxa"/>
            <w:vMerge/>
            <w:tcBorders>
              <w:top w:val="nil"/>
              <w:left w:val="single" w:sz="4" w:space="0" w:color="000000"/>
            </w:tcBorders>
          </w:tcPr>
          <w:p w14:paraId="17FA1625" w14:textId="77777777" w:rsidR="00C47BC8" w:rsidRDefault="00C47BC8">
            <w:pPr>
              <w:rPr>
                <w:sz w:val="2"/>
                <w:szCs w:val="2"/>
              </w:rPr>
            </w:pPr>
          </w:p>
        </w:tc>
      </w:tr>
      <w:tr w:rsidR="00C47BC8" w14:paraId="4BEB9790" w14:textId="77777777">
        <w:trPr>
          <w:trHeight w:val="1061"/>
        </w:trPr>
        <w:tc>
          <w:tcPr>
            <w:tcW w:w="2440" w:type="dxa"/>
          </w:tcPr>
          <w:p w14:paraId="04C91E9E" w14:textId="77777777" w:rsidR="00C47BC8" w:rsidRDefault="00C47BC8">
            <w:pPr>
              <w:pStyle w:val="TableParagraph"/>
              <w:spacing w:before="5"/>
              <w:rPr>
                <w:b/>
                <w:sz w:val="5"/>
              </w:rPr>
            </w:pPr>
          </w:p>
          <w:p w14:paraId="32A8447A" w14:textId="77777777" w:rsidR="00C47BC8" w:rsidRDefault="00606574">
            <w:pPr>
              <w:pStyle w:val="TableParagraph"/>
              <w:ind w:left="12"/>
              <w:rPr>
                <w:sz w:val="20"/>
              </w:rPr>
            </w:pPr>
            <w:r>
              <w:rPr>
                <w:noProof/>
                <w:sz w:val="20"/>
              </w:rPr>
              <w:drawing>
                <wp:inline distT="0" distB="0" distL="0" distR="0" wp14:anchorId="772158F1" wp14:editId="555E1A53">
                  <wp:extent cx="1387566" cy="485775"/>
                  <wp:effectExtent l="0" t="0" r="0" b="0"/>
                  <wp:docPr id="18" name="Image 18"/>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7" cstate="print"/>
                          <a:stretch>
                            <a:fillRect/>
                          </a:stretch>
                        </pic:blipFill>
                        <pic:spPr>
                          <a:xfrm>
                            <a:off x="0" y="0"/>
                            <a:ext cx="1387566" cy="485775"/>
                          </a:xfrm>
                          <a:prstGeom prst="rect">
                            <a:avLst/>
                          </a:prstGeom>
                        </pic:spPr>
                      </pic:pic>
                    </a:graphicData>
                  </a:graphic>
                </wp:inline>
              </w:drawing>
            </w:r>
          </w:p>
        </w:tc>
        <w:tc>
          <w:tcPr>
            <w:tcW w:w="408" w:type="dxa"/>
          </w:tcPr>
          <w:p w14:paraId="7C57D52F" w14:textId="77777777" w:rsidR="00C47BC8" w:rsidRDefault="00C47BC8">
            <w:pPr>
              <w:pStyle w:val="TableParagraph"/>
              <w:rPr>
                <w:rFonts w:ascii="Times New Roman"/>
                <w:sz w:val="18"/>
              </w:rPr>
            </w:pPr>
          </w:p>
        </w:tc>
        <w:tc>
          <w:tcPr>
            <w:tcW w:w="8506" w:type="dxa"/>
            <w:gridSpan w:val="8"/>
            <w:tcBorders>
              <w:top w:val="single" w:sz="8" w:space="0" w:color="E8E8E8"/>
            </w:tcBorders>
          </w:tcPr>
          <w:p w14:paraId="509A563F" w14:textId="77777777" w:rsidR="00C47BC8" w:rsidRDefault="00606574">
            <w:pPr>
              <w:pStyle w:val="TableParagraph"/>
              <w:ind w:left="107"/>
              <w:rPr>
                <w:b/>
                <w:sz w:val="20"/>
              </w:rPr>
            </w:pPr>
            <w:r>
              <w:rPr>
                <w:b/>
                <w:sz w:val="18"/>
              </w:rPr>
              <w:t>Quale strategia di investimento segue questo prodotto finanziario?</w:t>
            </w:r>
          </w:p>
        </w:tc>
      </w:tr>
      <w:tr w:rsidR="00C47BC8" w14:paraId="6448579C" w14:textId="77777777">
        <w:trPr>
          <w:trHeight w:val="1341"/>
        </w:trPr>
        <w:tc>
          <w:tcPr>
            <w:tcW w:w="2440" w:type="dxa"/>
            <w:tcBorders>
              <w:bottom w:val="nil"/>
            </w:tcBorders>
            <w:shd w:val="clear" w:color="auto" w:fill="D9D9D9"/>
          </w:tcPr>
          <w:p w14:paraId="28223FA3" w14:textId="77777777" w:rsidR="00C47BC8" w:rsidRDefault="00606574">
            <w:pPr>
              <w:pStyle w:val="TableParagraph"/>
              <w:tabs>
                <w:tab w:val="left" w:pos="1459"/>
              </w:tabs>
              <w:ind w:left="260" w:right="96"/>
              <w:jc w:val="both"/>
              <w:rPr>
                <w:sz w:val="18"/>
              </w:rPr>
            </w:pPr>
            <w:r>
              <w:rPr>
                <w:b/>
                <w:sz w:val="16"/>
              </w:rPr>
              <w:t xml:space="preserve">La strategia di investimento </w:t>
            </w:r>
            <w:r>
              <w:rPr>
                <w:spacing w:val="-2"/>
                <w:sz w:val="16"/>
              </w:rPr>
              <w:t>guida</w:t>
            </w:r>
            <w:r>
              <w:rPr>
                <w:sz w:val="16"/>
              </w:rPr>
              <w:tab/>
            </w:r>
            <w:r>
              <w:rPr>
                <w:sz w:val="16"/>
              </w:rPr>
              <w:t>le decisioni di investimento sulla base di fattori quali gli obiettivi di investimento e la tolleranza al rischio</w:t>
            </w:r>
          </w:p>
        </w:tc>
        <w:tc>
          <w:tcPr>
            <w:tcW w:w="408" w:type="dxa"/>
            <w:vMerge w:val="restart"/>
          </w:tcPr>
          <w:p w14:paraId="44F01F44" w14:textId="77777777" w:rsidR="00C47BC8" w:rsidRDefault="00C47BC8">
            <w:pPr>
              <w:pStyle w:val="TableParagraph"/>
              <w:rPr>
                <w:rFonts w:ascii="Times New Roman"/>
                <w:sz w:val="18"/>
              </w:rPr>
            </w:pPr>
          </w:p>
        </w:tc>
        <w:tc>
          <w:tcPr>
            <w:tcW w:w="8506" w:type="dxa"/>
            <w:gridSpan w:val="8"/>
            <w:tcBorders>
              <w:bottom w:val="nil"/>
            </w:tcBorders>
          </w:tcPr>
          <w:p w14:paraId="4AEC3F61" w14:textId="77777777" w:rsidR="00C47BC8" w:rsidRDefault="00606574">
            <w:pPr>
              <w:pStyle w:val="TableParagraph"/>
              <w:spacing w:before="5" w:line="249" w:lineRule="auto"/>
              <w:ind w:left="107" w:right="177"/>
              <w:jc w:val="both"/>
              <w:rPr>
                <w:sz w:val="20"/>
              </w:rPr>
            </w:pPr>
            <w:r>
              <w:rPr>
                <w:sz w:val="18"/>
              </w:rPr>
              <w:t>La politica di investimento del Fondo consiste nell’investire in un portafoglio di titoli azionari che, per quanto possibile e praticabile, sia costituito dai titoli che compongono l’Indice di Riferimento, il quale incorpora determinati criteri ESG nella selezione dei componenti. La metodologia dell’Indice di Riferimento è descritta sopra (vedere Quali caratteristiche ambientali e/o sociali sono promosse da questo prodotto finanziario?).</w:t>
            </w:r>
          </w:p>
        </w:tc>
      </w:tr>
      <w:tr w:rsidR="00C47BC8" w14:paraId="4F0C6D5F" w14:textId="77777777">
        <w:trPr>
          <w:trHeight w:val="926"/>
        </w:trPr>
        <w:tc>
          <w:tcPr>
            <w:tcW w:w="2440" w:type="dxa"/>
            <w:tcBorders>
              <w:top w:val="nil"/>
              <w:bottom w:val="nil"/>
            </w:tcBorders>
            <w:shd w:val="clear" w:color="auto" w:fill="D9D9D9"/>
          </w:tcPr>
          <w:p w14:paraId="4655E0AD" w14:textId="77777777" w:rsidR="00C47BC8" w:rsidRDefault="00C47BC8">
            <w:pPr>
              <w:pStyle w:val="TableParagraph"/>
              <w:rPr>
                <w:rFonts w:ascii="Times New Roman"/>
                <w:sz w:val="18"/>
              </w:rPr>
            </w:pPr>
          </w:p>
        </w:tc>
        <w:tc>
          <w:tcPr>
            <w:tcW w:w="408" w:type="dxa"/>
            <w:vMerge/>
            <w:tcBorders>
              <w:top w:val="nil"/>
            </w:tcBorders>
          </w:tcPr>
          <w:p w14:paraId="679920FD" w14:textId="77777777" w:rsidR="00C47BC8" w:rsidRDefault="00C47BC8">
            <w:pPr>
              <w:rPr>
                <w:sz w:val="2"/>
                <w:szCs w:val="2"/>
              </w:rPr>
            </w:pPr>
          </w:p>
        </w:tc>
        <w:tc>
          <w:tcPr>
            <w:tcW w:w="8506" w:type="dxa"/>
            <w:gridSpan w:val="8"/>
            <w:tcBorders>
              <w:top w:val="nil"/>
              <w:bottom w:val="nil"/>
            </w:tcBorders>
          </w:tcPr>
          <w:p w14:paraId="7893896F" w14:textId="77777777" w:rsidR="00C47BC8" w:rsidRDefault="00606574">
            <w:pPr>
              <w:pStyle w:val="TableParagraph"/>
              <w:spacing w:before="94" w:line="249" w:lineRule="auto"/>
              <w:ind w:left="107" w:right="180"/>
              <w:jc w:val="both"/>
              <w:rPr>
                <w:sz w:val="20"/>
              </w:rPr>
            </w:pPr>
            <w:r>
              <w:rPr>
                <w:sz w:val="18"/>
              </w:rPr>
              <w:t>Il Fondo mira a replicare i componenti dell’Indice di Riferimento detenendo tutti i titoli che lo compongono in una proporzione simile alle loro ponderazioni nell’Indice di Riferimento, ove possibile e praticabile.</w:t>
            </w:r>
          </w:p>
        </w:tc>
      </w:tr>
      <w:tr w:rsidR="00C47BC8" w14:paraId="0BCA13E7" w14:textId="77777777">
        <w:trPr>
          <w:trHeight w:val="1670"/>
        </w:trPr>
        <w:tc>
          <w:tcPr>
            <w:tcW w:w="2440" w:type="dxa"/>
            <w:tcBorders>
              <w:top w:val="nil"/>
              <w:bottom w:val="nil"/>
            </w:tcBorders>
            <w:shd w:val="clear" w:color="auto" w:fill="D9D9D9"/>
          </w:tcPr>
          <w:p w14:paraId="2ACCADB4" w14:textId="77777777" w:rsidR="00C47BC8" w:rsidRDefault="00C47BC8">
            <w:pPr>
              <w:pStyle w:val="TableParagraph"/>
              <w:rPr>
                <w:rFonts w:ascii="Times New Roman"/>
                <w:sz w:val="18"/>
              </w:rPr>
            </w:pPr>
          </w:p>
        </w:tc>
        <w:tc>
          <w:tcPr>
            <w:tcW w:w="408" w:type="dxa"/>
            <w:vMerge/>
            <w:tcBorders>
              <w:top w:val="nil"/>
            </w:tcBorders>
          </w:tcPr>
          <w:p w14:paraId="0930A437" w14:textId="77777777" w:rsidR="00C47BC8" w:rsidRDefault="00C47BC8">
            <w:pPr>
              <w:rPr>
                <w:sz w:val="2"/>
                <w:szCs w:val="2"/>
              </w:rPr>
            </w:pPr>
          </w:p>
        </w:tc>
        <w:tc>
          <w:tcPr>
            <w:tcW w:w="8506" w:type="dxa"/>
            <w:gridSpan w:val="8"/>
            <w:tcBorders>
              <w:top w:val="nil"/>
              <w:bottom w:val="nil"/>
            </w:tcBorders>
          </w:tcPr>
          <w:p w14:paraId="2A1892F2" w14:textId="77777777" w:rsidR="00C47BC8" w:rsidRDefault="00606574">
            <w:pPr>
              <w:pStyle w:val="TableParagraph"/>
              <w:spacing w:before="117" w:line="249" w:lineRule="auto"/>
              <w:ind w:left="107" w:right="177"/>
              <w:jc w:val="both"/>
              <w:rPr>
                <w:sz w:val="20"/>
              </w:rPr>
            </w:pPr>
            <w:r>
              <w:rPr>
                <w:sz w:val="18"/>
              </w:rPr>
              <w:t>Investendo nei componenti del proprio Indice di Riferimento, la strategia di investimento del Fondo gli consente di rispettare i requisiti ESG del proprio Indice di Riferimento, come determinati dal fornitore dell’indice. Nel caso in cui uno qualsiasi degli investimenti cessi di essere conforme, il Fondo potrà continuare a detenere tali investimenti solo fino al momento in cui i titoli in questione cesseranno di far parte dell’Indice di Riferimento e sarà possibile e praticabile (a giudizio del Gestore degl</w:t>
            </w:r>
            <w:r>
              <w:rPr>
                <w:sz w:val="18"/>
              </w:rPr>
              <w:t>i Investimenti) liquidare la posizione.</w:t>
            </w:r>
          </w:p>
        </w:tc>
      </w:tr>
      <w:tr w:rsidR="00C47BC8" w14:paraId="2A7E797B" w14:textId="77777777">
        <w:trPr>
          <w:trHeight w:val="592"/>
        </w:trPr>
        <w:tc>
          <w:tcPr>
            <w:tcW w:w="2440" w:type="dxa"/>
            <w:tcBorders>
              <w:top w:val="nil"/>
            </w:tcBorders>
            <w:shd w:val="clear" w:color="auto" w:fill="D9D9D9"/>
          </w:tcPr>
          <w:p w14:paraId="626A2B0E" w14:textId="77777777" w:rsidR="00C47BC8" w:rsidRDefault="00C47BC8">
            <w:pPr>
              <w:pStyle w:val="TableParagraph"/>
              <w:rPr>
                <w:rFonts w:ascii="Times New Roman"/>
                <w:sz w:val="18"/>
              </w:rPr>
            </w:pPr>
          </w:p>
        </w:tc>
        <w:tc>
          <w:tcPr>
            <w:tcW w:w="408" w:type="dxa"/>
            <w:vMerge/>
            <w:tcBorders>
              <w:top w:val="nil"/>
            </w:tcBorders>
          </w:tcPr>
          <w:p w14:paraId="1E02A363" w14:textId="77777777" w:rsidR="00C47BC8" w:rsidRDefault="00C47BC8">
            <w:pPr>
              <w:rPr>
                <w:sz w:val="2"/>
                <w:szCs w:val="2"/>
              </w:rPr>
            </w:pPr>
          </w:p>
        </w:tc>
        <w:tc>
          <w:tcPr>
            <w:tcW w:w="8506" w:type="dxa"/>
            <w:gridSpan w:val="8"/>
            <w:tcBorders>
              <w:top w:val="nil"/>
            </w:tcBorders>
          </w:tcPr>
          <w:p w14:paraId="6642C4A2" w14:textId="77777777" w:rsidR="00C47BC8" w:rsidRDefault="00606574">
            <w:pPr>
              <w:pStyle w:val="TableParagraph"/>
              <w:spacing w:before="92" w:line="240" w:lineRule="atLeast"/>
              <w:ind w:left="107" w:right="76"/>
              <w:rPr>
                <w:sz w:val="20"/>
              </w:rPr>
            </w:pPr>
            <w:r>
              <w:rPr>
                <w:sz w:val="18"/>
              </w:rPr>
              <w:t>La strategia viene attuata ad ogni ribilanciamento del portafoglio del Fondo, che segue il ribilanciamento del proprio Indice di Riferimento.</w:t>
            </w:r>
          </w:p>
        </w:tc>
      </w:tr>
    </w:tbl>
    <w:p w14:paraId="51073C79" w14:textId="77777777" w:rsidR="00C47BC8" w:rsidRDefault="00C47BC8">
      <w:pPr>
        <w:pStyle w:val="TableParagraph"/>
        <w:spacing w:line="240" w:lineRule="atLeast"/>
        <w:rPr>
          <w:sz w:val="20"/>
        </w:rPr>
        <w:sectPr w:rsidR="00C47BC8">
          <w:pgSz w:w="11910" w:h="16840"/>
          <w:pgMar w:top="1380" w:right="425" w:bottom="800" w:left="0" w:header="0" w:footer="617" w:gutter="0"/>
          <w:cols w:space="708"/>
        </w:sectPr>
      </w:pPr>
    </w:p>
    <w:p w14:paraId="1DA7D12A" w14:textId="77777777" w:rsidR="00C47BC8" w:rsidRDefault="00C47BC8">
      <w:pPr>
        <w:pStyle w:val="Corpotesto"/>
        <w:rPr>
          <w:b/>
          <w:sz w:val="2"/>
        </w:rPr>
      </w:pPr>
    </w:p>
    <w:tbl>
      <w:tblPr>
        <w:tblStyle w:val="TableNormal"/>
        <w:tblW w:w="0" w:type="auto"/>
        <w:tblInd w:w="26" w:type="dxa"/>
        <w:tblBorders>
          <w:top w:val="single" w:sz="4" w:space="0" w:color="E8E8E8"/>
          <w:left w:val="single" w:sz="4" w:space="0" w:color="E8E8E8"/>
          <w:bottom w:val="single" w:sz="4" w:space="0" w:color="E8E8E8"/>
          <w:right w:val="single" w:sz="4" w:space="0" w:color="E8E8E8"/>
          <w:insideH w:val="single" w:sz="4" w:space="0" w:color="E8E8E8"/>
          <w:insideV w:val="single" w:sz="4" w:space="0" w:color="E8E8E8"/>
        </w:tblBorders>
        <w:tblLayout w:type="fixed"/>
        <w:tblLook w:val="01E0" w:firstRow="1" w:lastRow="1" w:firstColumn="1" w:lastColumn="1" w:noHBand="0" w:noVBand="0"/>
      </w:tblPr>
      <w:tblGrid>
        <w:gridCol w:w="2440"/>
        <w:gridCol w:w="408"/>
        <w:gridCol w:w="8498"/>
      </w:tblGrid>
      <w:tr w:rsidR="00C47BC8" w14:paraId="7B00682A" w14:textId="77777777">
        <w:trPr>
          <w:trHeight w:hRule="exact" w:val="699"/>
        </w:trPr>
        <w:tc>
          <w:tcPr>
            <w:tcW w:w="2440" w:type="dxa"/>
            <w:vMerge w:val="restart"/>
            <w:shd w:val="clear" w:color="auto" w:fill="D9D9D9"/>
          </w:tcPr>
          <w:p w14:paraId="4A0FFE9D" w14:textId="77777777" w:rsidR="00C47BC8" w:rsidRDefault="00C47BC8">
            <w:pPr>
              <w:pStyle w:val="TableParagraph"/>
              <w:rPr>
                <w:rFonts w:ascii="Times New Roman"/>
                <w:sz w:val="18"/>
              </w:rPr>
            </w:pPr>
          </w:p>
        </w:tc>
        <w:tc>
          <w:tcPr>
            <w:tcW w:w="408" w:type="dxa"/>
          </w:tcPr>
          <w:p w14:paraId="62A7BC60" w14:textId="77777777" w:rsidR="00C47BC8" w:rsidRDefault="00C47BC8">
            <w:pPr>
              <w:pStyle w:val="TableParagraph"/>
              <w:rPr>
                <w:rFonts w:ascii="Times New Roman"/>
                <w:sz w:val="18"/>
              </w:rPr>
            </w:pPr>
          </w:p>
        </w:tc>
        <w:tc>
          <w:tcPr>
            <w:tcW w:w="8498" w:type="dxa"/>
          </w:tcPr>
          <w:p w14:paraId="57F2ABEE" w14:textId="77777777" w:rsidR="00C47BC8" w:rsidRDefault="00606574">
            <w:pPr>
              <w:pStyle w:val="TableParagraph"/>
              <w:ind w:left="442" w:hanging="342"/>
              <w:rPr>
                <w:b/>
                <w:i/>
                <w:sz w:val="20"/>
              </w:rPr>
            </w:pPr>
            <w:r>
              <w:rPr>
                <w:noProof/>
                <w:position w:val="-2"/>
              </w:rPr>
              <w:drawing>
                <wp:inline distT="0" distB="0" distL="0" distR="0" wp14:anchorId="1624B6E6" wp14:editId="198959BE">
                  <wp:extent cx="130175" cy="130175"/>
                  <wp:effectExtent l="0" t="0" r="0" b="0"/>
                  <wp:docPr id="19" name="Image 19"/>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18" cstate="print"/>
                          <a:stretch>
                            <a:fillRect/>
                          </a:stretch>
                        </pic:blipFill>
                        <pic:spPr>
                          <a:xfrm>
                            <a:off x="0" y="0"/>
                            <a:ext cx="130175" cy="130175"/>
                          </a:xfrm>
                          <a:prstGeom prst="rect">
                            <a:avLst/>
                          </a:prstGeom>
                        </pic:spPr>
                      </pic:pic>
                    </a:graphicData>
                  </a:graphic>
                </wp:inline>
              </w:drawing>
            </w:r>
            <w:r>
              <w:rPr>
                <w:rFonts w:ascii="Times New Roman"/>
                <w:sz w:val="18"/>
              </w:rPr>
              <w:t xml:space="preserve"> </w:t>
            </w:r>
            <w:r>
              <w:rPr>
                <w:b/>
                <w:i/>
                <w:sz w:val="18"/>
              </w:rPr>
              <w:t>Quali sono gli elementi vincolanti della strategia di investimento utilizzata per selezionare gli investimenti al fine di soddisfare ciascuna delle caratteristiche ambientali o sociali promosse</w:t>
            </w:r>
          </w:p>
          <w:p w14:paraId="13BAA95F" w14:textId="77777777" w:rsidR="00C47BC8" w:rsidRDefault="00606574">
            <w:pPr>
              <w:pStyle w:val="TableParagraph"/>
              <w:spacing w:line="209" w:lineRule="exact"/>
              <w:ind w:left="442"/>
              <w:rPr>
                <w:b/>
                <w:i/>
                <w:sz w:val="20"/>
              </w:rPr>
            </w:pPr>
            <w:r>
              <w:rPr>
                <w:b/>
                <w:i/>
                <w:sz w:val="18"/>
              </w:rPr>
              <w:t>da questo prodotto finanziario?</w:t>
            </w:r>
          </w:p>
        </w:tc>
      </w:tr>
      <w:tr w:rsidR="00C47BC8" w14:paraId="68E5F7AE" w14:textId="77777777">
        <w:trPr>
          <w:trHeight w:hRule="exact" w:val="2913"/>
        </w:trPr>
        <w:tc>
          <w:tcPr>
            <w:tcW w:w="2440" w:type="dxa"/>
            <w:vMerge/>
            <w:tcBorders>
              <w:top w:val="nil"/>
            </w:tcBorders>
            <w:shd w:val="clear" w:color="auto" w:fill="D9D9D9"/>
          </w:tcPr>
          <w:p w14:paraId="59A91E79" w14:textId="77777777" w:rsidR="00C47BC8" w:rsidRDefault="00C47BC8">
            <w:pPr>
              <w:rPr>
                <w:sz w:val="2"/>
                <w:szCs w:val="2"/>
              </w:rPr>
            </w:pPr>
          </w:p>
        </w:tc>
        <w:tc>
          <w:tcPr>
            <w:tcW w:w="408" w:type="dxa"/>
          </w:tcPr>
          <w:p w14:paraId="4802F4AE" w14:textId="77777777" w:rsidR="00C47BC8" w:rsidRDefault="00C47BC8">
            <w:pPr>
              <w:pStyle w:val="TableParagraph"/>
              <w:rPr>
                <w:rFonts w:ascii="Times New Roman"/>
                <w:sz w:val="18"/>
              </w:rPr>
            </w:pPr>
          </w:p>
        </w:tc>
        <w:tc>
          <w:tcPr>
            <w:tcW w:w="8498" w:type="dxa"/>
          </w:tcPr>
          <w:p w14:paraId="34718031" w14:textId="77777777" w:rsidR="00C47BC8" w:rsidRDefault="00606574">
            <w:pPr>
              <w:pStyle w:val="TableParagraph"/>
              <w:spacing w:before="172" w:line="249" w:lineRule="auto"/>
              <w:ind w:left="102" w:right="173"/>
              <w:jc w:val="both"/>
              <w:rPr>
                <w:sz w:val="20"/>
              </w:rPr>
            </w:pPr>
            <w:r>
              <w:rPr>
                <w:sz w:val="18"/>
              </w:rPr>
              <w:t>Gli elementi vincolanti della strategia di investimento sono che il Fondo investirà in un portafoglio di titoli azionari che, per quanto possibile e praticabile, sia costituito dai titoli che compongono l’Indice di Riferimento e che, di conseguenza, rispetti le caratteristiche ESG del proprio Indice di Riferimento. (vedere Quali caratteristiche ambientali e/o sociali sono promosse da questo prodotto finanziario?).</w:t>
            </w:r>
          </w:p>
          <w:p w14:paraId="014FAE7F" w14:textId="77777777" w:rsidR="00C47BC8" w:rsidRDefault="00606574">
            <w:pPr>
              <w:pStyle w:val="TableParagraph"/>
              <w:spacing w:before="172" w:line="249" w:lineRule="auto"/>
              <w:ind w:left="102" w:right="172"/>
              <w:jc w:val="both"/>
              <w:rPr>
                <w:sz w:val="20"/>
              </w:rPr>
            </w:pPr>
            <w:r>
              <w:rPr>
                <w:sz w:val="18"/>
              </w:rPr>
              <w:t>Nel caso in cui uno qualsiasi degli investimenti cessi di soddisfare i requisiti ESG dell’Indice di Riferimento, il Fondo potrà continuare a detenere tali investimenti solo fino al momento in cui i titoli in questione cesseranno di far parte dell’Indice di Riferimento e/o sarà possibile e praticabile (a giudizio del Gestore degli Investimenti) liquidare la posizione.</w:t>
            </w:r>
          </w:p>
        </w:tc>
      </w:tr>
      <w:tr w:rsidR="00C47BC8" w14:paraId="035E290A" w14:textId="77777777">
        <w:trPr>
          <w:trHeight w:hRule="exact" w:val="852"/>
        </w:trPr>
        <w:tc>
          <w:tcPr>
            <w:tcW w:w="2440" w:type="dxa"/>
          </w:tcPr>
          <w:p w14:paraId="595BBB3B" w14:textId="77777777" w:rsidR="00C47BC8" w:rsidRDefault="00C47BC8">
            <w:pPr>
              <w:pStyle w:val="TableParagraph"/>
              <w:rPr>
                <w:rFonts w:ascii="Times New Roman"/>
                <w:sz w:val="18"/>
              </w:rPr>
            </w:pPr>
          </w:p>
        </w:tc>
        <w:tc>
          <w:tcPr>
            <w:tcW w:w="408" w:type="dxa"/>
          </w:tcPr>
          <w:p w14:paraId="2F2AB6C1" w14:textId="77777777" w:rsidR="00C47BC8" w:rsidRDefault="00C47BC8">
            <w:pPr>
              <w:pStyle w:val="TableParagraph"/>
              <w:rPr>
                <w:rFonts w:ascii="Times New Roman"/>
                <w:sz w:val="18"/>
              </w:rPr>
            </w:pPr>
          </w:p>
        </w:tc>
        <w:tc>
          <w:tcPr>
            <w:tcW w:w="8498" w:type="dxa"/>
          </w:tcPr>
          <w:p w14:paraId="14B1C84F" w14:textId="77777777" w:rsidR="00C47BC8" w:rsidRDefault="00606574">
            <w:pPr>
              <w:pStyle w:val="TableParagraph"/>
              <w:spacing w:before="2" w:line="256" w:lineRule="auto"/>
              <w:ind w:left="442" w:hanging="342"/>
              <w:rPr>
                <w:b/>
                <w:i/>
                <w:sz w:val="20"/>
              </w:rPr>
            </w:pPr>
            <w:r>
              <w:rPr>
                <w:noProof/>
                <w:position w:val="-2"/>
              </w:rPr>
              <w:drawing>
                <wp:inline distT="0" distB="0" distL="0" distR="0" wp14:anchorId="45448CBD" wp14:editId="71D809C5">
                  <wp:extent cx="130175" cy="130175"/>
                  <wp:effectExtent l="0" t="0" r="0" b="0"/>
                  <wp:docPr id="20" name="Image 20"/>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19" cstate="print"/>
                          <a:stretch>
                            <a:fillRect/>
                          </a:stretch>
                        </pic:blipFill>
                        <pic:spPr>
                          <a:xfrm>
                            <a:off x="0" y="0"/>
                            <a:ext cx="130175" cy="130175"/>
                          </a:xfrm>
                          <a:prstGeom prst="rect">
                            <a:avLst/>
                          </a:prstGeom>
                        </pic:spPr>
                      </pic:pic>
                    </a:graphicData>
                  </a:graphic>
                </wp:inline>
              </w:drawing>
            </w:r>
            <w:r>
              <w:rPr>
                <w:rFonts w:ascii="Times New Roman"/>
                <w:sz w:val="18"/>
              </w:rPr>
              <w:t xml:space="preserve"> </w:t>
            </w:r>
            <w:r>
              <w:rPr>
                <w:b/>
                <w:i/>
                <w:sz w:val="18"/>
              </w:rPr>
              <w:t>Qual è la percentuale minima impegnata per ridurre l’ambito degli investimenti presi in considerazione prima dell’applicazione di tale strategia d’investimento?</w:t>
            </w:r>
          </w:p>
        </w:tc>
      </w:tr>
      <w:tr w:rsidR="00C47BC8" w14:paraId="4E47EBCC" w14:textId="77777777">
        <w:trPr>
          <w:trHeight w:hRule="exact" w:val="3394"/>
        </w:trPr>
        <w:tc>
          <w:tcPr>
            <w:tcW w:w="2440" w:type="dxa"/>
          </w:tcPr>
          <w:p w14:paraId="4E5909CC" w14:textId="77777777" w:rsidR="00C47BC8" w:rsidRDefault="00C47BC8">
            <w:pPr>
              <w:pStyle w:val="TableParagraph"/>
              <w:rPr>
                <w:rFonts w:ascii="Times New Roman"/>
                <w:sz w:val="18"/>
              </w:rPr>
            </w:pPr>
          </w:p>
        </w:tc>
        <w:tc>
          <w:tcPr>
            <w:tcW w:w="408" w:type="dxa"/>
          </w:tcPr>
          <w:p w14:paraId="48D9B48B" w14:textId="77777777" w:rsidR="00C47BC8" w:rsidRDefault="00C47BC8">
            <w:pPr>
              <w:pStyle w:val="TableParagraph"/>
              <w:rPr>
                <w:rFonts w:ascii="Times New Roman"/>
                <w:sz w:val="18"/>
              </w:rPr>
            </w:pPr>
          </w:p>
        </w:tc>
        <w:tc>
          <w:tcPr>
            <w:tcW w:w="8498" w:type="dxa"/>
          </w:tcPr>
          <w:p w14:paraId="62F025BD" w14:textId="77777777" w:rsidR="00C47BC8" w:rsidRDefault="00606574">
            <w:pPr>
              <w:pStyle w:val="TableParagraph"/>
              <w:spacing w:before="173"/>
              <w:ind w:left="102"/>
              <w:jc w:val="both"/>
              <w:rPr>
                <w:sz w:val="20"/>
              </w:rPr>
            </w:pPr>
            <w:r>
              <w:rPr>
                <w:sz w:val="18"/>
              </w:rPr>
              <w:t>Non esiste un tasso minimo impegnato per ridurre l'ambito degli investimenti del Fondo.</w:t>
            </w:r>
          </w:p>
          <w:p w14:paraId="31E4BD6B" w14:textId="77777777" w:rsidR="00C47BC8" w:rsidRDefault="00606574">
            <w:pPr>
              <w:pStyle w:val="TableParagraph"/>
              <w:spacing w:before="178" w:line="249" w:lineRule="auto"/>
              <w:ind w:left="102" w:right="175"/>
              <w:jc w:val="both"/>
              <w:rPr>
                <w:sz w:val="20"/>
              </w:rPr>
            </w:pPr>
            <w:r>
              <w:rPr>
                <w:sz w:val="18"/>
              </w:rPr>
              <w:t>L’Indice di Riferimento del Fondo mira a ridurre il numero di componenti dell’Indice STOXX World AC Universal All Cap attraverso l’applicazione dei criteri di selezione ESG. Tuttavia, non esiste un tasso minimo di riduzione applicato o previsto dal fornitore dell’indice nella selezione dei componenti dell’Indice di Riferimento.</w:t>
            </w:r>
          </w:p>
          <w:p w14:paraId="2F439215" w14:textId="77777777" w:rsidR="00C47BC8" w:rsidRDefault="00606574">
            <w:pPr>
              <w:pStyle w:val="TableParagraph"/>
              <w:spacing w:before="147" w:line="240" w:lineRule="atLeast"/>
              <w:ind w:left="102" w:right="172"/>
              <w:jc w:val="both"/>
              <w:rPr>
                <w:sz w:val="20"/>
              </w:rPr>
            </w:pPr>
            <w:r>
              <w:rPr>
                <w:sz w:val="18"/>
              </w:rPr>
              <w:t xml:space="preserve">Il tasso di riduzione può variare nel tempo a seconda degli emittenti che compongono l’indice STOXX World AC Universal All Cap. Ad esempio, se gli emittenti dell’indice STOXX World AC Universal All Cap intraprendono un minor numero di attività escluse dall’indice STOXX World AC Universal All Cap in base ai criteri di selezione ESG applicati dall’indice di riferimento, il tasso di riduzione potrebbe diminuire nel tempo. Al contrario, se il fornitore dell’indice aumenta i criteri di selezione ESG nell’Indice </w:t>
            </w:r>
            <w:r>
              <w:rPr>
                <w:sz w:val="18"/>
              </w:rPr>
              <w:t>di Riferimento man mano che gli standard ESG evolvono, il tasso di riduzione potrebbe aumentare nel tempo.</w:t>
            </w:r>
          </w:p>
        </w:tc>
      </w:tr>
      <w:tr w:rsidR="00C47BC8" w14:paraId="6F262B8B" w14:textId="77777777">
        <w:trPr>
          <w:trHeight w:hRule="exact" w:val="562"/>
        </w:trPr>
        <w:tc>
          <w:tcPr>
            <w:tcW w:w="2440" w:type="dxa"/>
            <w:vMerge w:val="restart"/>
            <w:shd w:val="clear" w:color="auto" w:fill="D9D9D9"/>
          </w:tcPr>
          <w:p w14:paraId="382DC57B" w14:textId="77777777" w:rsidR="00C47BC8" w:rsidRDefault="00606574">
            <w:pPr>
              <w:pStyle w:val="TableParagraph"/>
              <w:tabs>
                <w:tab w:val="left" w:pos="1315"/>
                <w:tab w:val="left" w:pos="1595"/>
              </w:tabs>
              <w:ind w:left="255" w:right="102"/>
              <w:jc w:val="both"/>
              <w:rPr>
                <w:sz w:val="18"/>
              </w:rPr>
            </w:pPr>
            <w:r>
              <w:rPr>
                <w:b/>
                <w:spacing w:val="-4"/>
                <w:sz w:val="16"/>
              </w:rPr>
              <w:t>Buone</w:t>
            </w:r>
            <w:r>
              <w:rPr>
                <w:b/>
                <w:sz w:val="16"/>
              </w:rPr>
              <w:tab/>
            </w:r>
            <w:r>
              <w:rPr>
                <w:sz w:val="16"/>
              </w:rPr>
              <w:t>pratiche</w:t>
            </w:r>
            <w:r>
              <w:rPr>
                <w:b/>
                <w:spacing w:val="-2"/>
                <w:sz w:val="16"/>
              </w:rPr>
              <w:t xml:space="preserve"> di buona governance </w:t>
            </w:r>
            <w:r>
              <w:rPr>
                <w:sz w:val="16"/>
              </w:rPr>
              <w:t>includono solide strutture gestionali,</w:t>
            </w:r>
            <w:r>
              <w:rPr>
                <w:sz w:val="16"/>
              </w:rPr>
              <w:tab/>
            </w:r>
            <w:r>
              <w:rPr>
                <w:sz w:val="16"/>
              </w:rPr>
              <w:tab/>
              <w:t>, la remunerazione del personale e l’adempimento degli obblighi fiscali.</w:t>
            </w:r>
          </w:p>
        </w:tc>
        <w:tc>
          <w:tcPr>
            <w:tcW w:w="408" w:type="dxa"/>
          </w:tcPr>
          <w:p w14:paraId="4EFDC764" w14:textId="77777777" w:rsidR="00C47BC8" w:rsidRDefault="00C47BC8">
            <w:pPr>
              <w:pStyle w:val="TableParagraph"/>
              <w:rPr>
                <w:rFonts w:ascii="Times New Roman"/>
                <w:sz w:val="18"/>
              </w:rPr>
            </w:pPr>
          </w:p>
        </w:tc>
        <w:tc>
          <w:tcPr>
            <w:tcW w:w="8498" w:type="dxa"/>
          </w:tcPr>
          <w:p w14:paraId="78D71AA5" w14:textId="77777777" w:rsidR="00C47BC8" w:rsidRDefault="00606574">
            <w:pPr>
              <w:pStyle w:val="TableParagraph"/>
              <w:ind w:left="101"/>
              <w:rPr>
                <w:b/>
                <w:i/>
                <w:sz w:val="20"/>
              </w:rPr>
            </w:pPr>
            <w:r>
              <w:rPr>
                <w:noProof/>
                <w:position w:val="-1"/>
              </w:rPr>
              <w:drawing>
                <wp:inline distT="0" distB="0" distL="0" distR="0" wp14:anchorId="07FBC5FA" wp14:editId="60E6C197">
                  <wp:extent cx="130175" cy="130175"/>
                  <wp:effectExtent l="0" t="0" r="0" b="0"/>
                  <wp:docPr id="21" name="Image 2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4" cstate="print"/>
                          <a:stretch>
                            <a:fillRect/>
                          </a:stretch>
                        </pic:blipFill>
                        <pic:spPr>
                          <a:xfrm>
                            <a:off x="0" y="0"/>
                            <a:ext cx="130175" cy="130175"/>
                          </a:xfrm>
                          <a:prstGeom prst="rect">
                            <a:avLst/>
                          </a:prstGeom>
                        </pic:spPr>
                      </pic:pic>
                    </a:graphicData>
                  </a:graphic>
                </wp:inline>
              </w:drawing>
            </w:r>
            <w:r>
              <w:rPr>
                <w:rFonts w:ascii="Times New Roman"/>
                <w:sz w:val="18"/>
              </w:rPr>
              <w:t xml:space="preserve"> </w:t>
            </w:r>
            <w:r>
              <w:rPr>
                <w:b/>
                <w:i/>
                <w:spacing w:val="-2"/>
                <w:sz w:val="18"/>
              </w:rPr>
              <w:t>Qual è la politica per valutare le buone pratiche di governance delle società partecipate?</w:t>
            </w:r>
          </w:p>
        </w:tc>
      </w:tr>
      <w:tr w:rsidR="00C47BC8" w14:paraId="30C77399" w14:textId="77777777">
        <w:trPr>
          <w:trHeight w:hRule="exact" w:val="3609"/>
        </w:trPr>
        <w:tc>
          <w:tcPr>
            <w:tcW w:w="2440" w:type="dxa"/>
            <w:vMerge/>
            <w:tcBorders>
              <w:top w:val="nil"/>
            </w:tcBorders>
            <w:shd w:val="clear" w:color="auto" w:fill="D9D9D9"/>
          </w:tcPr>
          <w:p w14:paraId="26615A3A" w14:textId="77777777" w:rsidR="00C47BC8" w:rsidRDefault="00C47BC8">
            <w:pPr>
              <w:rPr>
                <w:sz w:val="2"/>
                <w:szCs w:val="2"/>
              </w:rPr>
            </w:pPr>
          </w:p>
        </w:tc>
        <w:tc>
          <w:tcPr>
            <w:tcW w:w="408" w:type="dxa"/>
          </w:tcPr>
          <w:p w14:paraId="7FCF17BE" w14:textId="77777777" w:rsidR="00C47BC8" w:rsidRDefault="00C47BC8">
            <w:pPr>
              <w:pStyle w:val="TableParagraph"/>
              <w:rPr>
                <w:rFonts w:ascii="Times New Roman"/>
                <w:sz w:val="18"/>
              </w:rPr>
            </w:pPr>
          </w:p>
        </w:tc>
        <w:tc>
          <w:tcPr>
            <w:tcW w:w="8498" w:type="dxa"/>
          </w:tcPr>
          <w:p w14:paraId="46CEC876" w14:textId="77777777" w:rsidR="00C47BC8" w:rsidRDefault="00606574">
            <w:pPr>
              <w:pStyle w:val="TableParagraph"/>
              <w:spacing w:before="4"/>
              <w:ind w:left="102"/>
              <w:jc w:val="both"/>
              <w:rPr>
                <w:sz w:val="20"/>
              </w:rPr>
            </w:pPr>
            <w:r>
              <w:rPr>
                <w:sz w:val="18"/>
              </w:rPr>
              <w:t>I controlli di buona governance sono incorporati nella metodologia dell’Indice di Riferimento.</w:t>
            </w:r>
          </w:p>
          <w:p w14:paraId="05ED3B33" w14:textId="77777777" w:rsidR="00C47BC8" w:rsidRDefault="00C47BC8">
            <w:pPr>
              <w:pStyle w:val="TableParagraph"/>
              <w:spacing w:before="20"/>
              <w:rPr>
                <w:b/>
                <w:sz w:val="20"/>
              </w:rPr>
            </w:pPr>
          </w:p>
          <w:p w14:paraId="7904CF51" w14:textId="77777777" w:rsidR="00C47BC8" w:rsidRDefault="00606574">
            <w:pPr>
              <w:pStyle w:val="TableParagraph"/>
              <w:spacing w:line="249" w:lineRule="auto"/>
              <w:ind w:left="102" w:right="171"/>
              <w:jc w:val="both"/>
              <w:rPr>
                <w:sz w:val="20"/>
              </w:rPr>
            </w:pPr>
            <w:r>
              <w:rPr>
                <w:sz w:val="18"/>
              </w:rPr>
              <w:t>Il Gestore degli Investimenti effettua la due diligence sui fornitori di indici e interagisce con loro su base continuativa in merito alle metodologie degli indici, compresa la loro valutazione dei criteri di buona governance stabiliti dall’SFDR, che includono solide strutture gestionali, relazioni con i dipendenti, remunerazione del personale e conformità fiscale a livello delle società partecipate.</w:t>
            </w:r>
          </w:p>
          <w:p w14:paraId="489254AE" w14:textId="77777777" w:rsidR="00C47BC8" w:rsidRDefault="00606574">
            <w:pPr>
              <w:pStyle w:val="TableParagraph"/>
              <w:spacing w:before="220" w:line="240" w:lineRule="atLeast"/>
              <w:ind w:left="102" w:right="172"/>
              <w:jc w:val="both"/>
              <w:rPr>
                <w:sz w:val="20"/>
              </w:rPr>
            </w:pPr>
            <w:r>
              <w:rPr>
                <w:sz w:val="18"/>
              </w:rPr>
              <w:t>Il fornitore dell’indice esclude le società dall’Indice di Riferimento sulla base di un punteggio relativo alle controversie ESG (che misura il coinvolgimento di un emittente in controversie legate all’ESG) ed esclude le società classificate come violatrici o a rischio di violare norme e standard internazionali comunemente accettati, sanciti dai Principi del Global Compact delle Nazioni Unite (UNGC), nelle Linee guida dell’Organizzazione per la cooperazione e lo sviluppo economico (OCSE) per le imprese mult</w:t>
            </w:r>
            <w:r>
              <w:rPr>
                <w:sz w:val="18"/>
              </w:rPr>
              <w:t>inazionali, nei Principi guida delle Nazioni Unite su imprese e diritti umani (UNGPs) e nelle convenzioni a essi sottostanti.</w:t>
            </w:r>
          </w:p>
        </w:tc>
      </w:tr>
      <w:tr w:rsidR="00C47BC8" w14:paraId="2CB676C0" w14:textId="77777777">
        <w:trPr>
          <w:trHeight w:hRule="exact" w:val="1057"/>
        </w:trPr>
        <w:tc>
          <w:tcPr>
            <w:tcW w:w="2440" w:type="dxa"/>
          </w:tcPr>
          <w:p w14:paraId="6EAA8CFF" w14:textId="77777777" w:rsidR="00C47BC8" w:rsidRDefault="00C47BC8">
            <w:pPr>
              <w:pStyle w:val="TableParagraph"/>
              <w:spacing w:before="7"/>
              <w:rPr>
                <w:b/>
                <w:sz w:val="2"/>
              </w:rPr>
            </w:pPr>
          </w:p>
          <w:p w14:paraId="1FEFF95E" w14:textId="77777777" w:rsidR="00C47BC8" w:rsidRDefault="00606574">
            <w:pPr>
              <w:pStyle w:val="TableParagraph"/>
              <w:ind w:left="8"/>
              <w:rPr>
                <w:sz w:val="20"/>
              </w:rPr>
            </w:pPr>
            <w:r>
              <w:rPr>
                <w:noProof/>
                <w:sz w:val="20"/>
              </w:rPr>
              <w:drawing>
                <wp:inline distT="0" distB="0" distL="0" distR="0" wp14:anchorId="0F9D996C" wp14:editId="2C13765D">
                  <wp:extent cx="1392561" cy="500253"/>
                  <wp:effectExtent l="0" t="0" r="0" b="0"/>
                  <wp:docPr id="22" name="Image 22"/>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20" cstate="print"/>
                          <a:stretch>
                            <a:fillRect/>
                          </a:stretch>
                        </pic:blipFill>
                        <pic:spPr>
                          <a:xfrm>
                            <a:off x="0" y="0"/>
                            <a:ext cx="1392561" cy="500253"/>
                          </a:xfrm>
                          <a:prstGeom prst="rect">
                            <a:avLst/>
                          </a:prstGeom>
                        </pic:spPr>
                      </pic:pic>
                    </a:graphicData>
                  </a:graphic>
                </wp:inline>
              </w:drawing>
            </w:r>
          </w:p>
        </w:tc>
        <w:tc>
          <w:tcPr>
            <w:tcW w:w="408" w:type="dxa"/>
            <w:vMerge w:val="restart"/>
          </w:tcPr>
          <w:p w14:paraId="543E3FD2" w14:textId="77777777" w:rsidR="00C47BC8" w:rsidRDefault="00C47BC8">
            <w:pPr>
              <w:pStyle w:val="TableParagraph"/>
              <w:rPr>
                <w:rFonts w:ascii="Times New Roman"/>
                <w:sz w:val="18"/>
              </w:rPr>
            </w:pPr>
          </w:p>
        </w:tc>
        <w:tc>
          <w:tcPr>
            <w:tcW w:w="8498" w:type="dxa"/>
            <w:vMerge w:val="restart"/>
          </w:tcPr>
          <w:p w14:paraId="73234FBA" w14:textId="77777777" w:rsidR="00C47BC8" w:rsidRDefault="00606574">
            <w:pPr>
              <w:pStyle w:val="TableParagraph"/>
              <w:ind w:left="102"/>
              <w:rPr>
                <w:b/>
                <w:sz w:val="20"/>
              </w:rPr>
            </w:pPr>
            <w:r>
              <w:rPr>
                <w:b/>
                <w:sz w:val="18"/>
              </w:rPr>
              <w:t>Qual è l’allocazione degli asset prevista per questo prodotto finanziario?</w:t>
            </w:r>
          </w:p>
        </w:tc>
      </w:tr>
      <w:tr w:rsidR="00C47BC8" w14:paraId="3681788C" w14:textId="77777777">
        <w:trPr>
          <w:trHeight w:hRule="exact" w:val="249"/>
        </w:trPr>
        <w:tc>
          <w:tcPr>
            <w:tcW w:w="2440" w:type="dxa"/>
            <w:vMerge w:val="restart"/>
            <w:shd w:val="clear" w:color="auto" w:fill="D9D9D9"/>
          </w:tcPr>
          <w:p w14:paraId="6EF6780B" w14:textId="77777777" w:rsidR="00C47BC8" w:rsidRDefault="00606574">
            <w:pPr>
              <w:pStyle w:val="TableParagraph"/>
              <w:tabs>
                <w:tab w:val="left" w:pos="1485"/>
              </w:tabs>
              <w:ind w:left="255" w:right="102"/>
              <w:jc w:val="both"/>
              <w:rPr>
                <w:sz w:val="18"/>
              </w:rPr>
            </w:pPr>
            <w:r>
              <w:rPr>
                <w:b/>
                <w:spacing w:val="-2"/>
                <w:sz w:val="16"/>
              </w:rPr>
              <w:t>L'</w:t>
            </w:r>
            <w:r>
              <w:rPr>
                <w:b/>
                <w:sz w:val="16"/>
              </w:rPr>
              <w:tab/>
            </w:r>
            <w:r>
              <w:rPr>
                <w:sz w:val="16"/>
              </w:rPr>
              <w:t>descrive la quota di investimenti in specifiche classi di attività.</w:t>
            </w:r>
          </w:p>
        </w:tc>
        <w:tc>
          <w:tcPr>
            <w:tcW w:w="408" w:type="dxa"/>
            <w:vMerge/>
            <w:tcBorders>
              <w:top w:val="nil"/>
            </w:tcBorders>
          </w:tcPr>
          <w:p w14:paraId="0068251A" w14:textId="77777777" w:rsidR="00C47BC8" w:rsidRDefault="00C47BC8">
            <w:pPr>
              <w:rPr>
                <w:sz w:val="2"/>
                <w:szCs w:val="2"/>
              </w:rPr>
            </w:pPr>
          </w:p>
        </w:tc>
        <w:tc>
          <w:tcPr>
            <w:tcW w:w="8498" w:type="dxa"/>
            <w:vMerge/>
            <w:tcBorders>
              <w:top w:val="nil"/>
            </w:tcBorders>
          </w:tcPr>
          <w:p w14:paraId="36640786" w14:textId="77777777" w:rsidR="00C47BC8" w:rsidRDefault="00C47BC8">
            <w:pPr>
              <w:rPr>
                <w:sz w:val="2"/>
                <w:szCs w:val="2"/>
              </w:rPr>
            </w:pPr>
          </w:p>
        </w:tc>
      </w:tr>
      <w:tr w:rsidR="00C47BC8" w14:paraId="461E3E6A" w14:textId="77777777">
        <w:trPr>
          <w:trHeight w:hRule="exact" w:val="730"/>
        </w:trPr>
        <w:tc>
          <w:tcPr>
            <w:tcW w:w="2440" w:type="dxa"/>
            <w:vMerge/>
            <w:tcBorders>
              <w:top w:val="nil"/>
            </w:tcBorders>
            <w:shd w:val="clear" w:color="auto" w:fill="D9D9D9"/>
          </w:tcPr>
          <w:p w14:paraId="1FFA650F" w14:textId="77777777" w:rsidR="00C47BC8" w:rsidRDefault="00C47BC8">
            <w:pPr>
              <w:rPr>
                <w:sz w:val="2"/>
                <w:szCs w:val="2"/>
              </w:rPr>
            </w:pPr>
          </w:p>
        </w:tc>
        <w:tc>
          <w:tcPr>
            <w:tcW w:w="408" w:type="dxa"/>
          </w:tcPr>
          <w:p w14:paraId="6403ADE3" w14:textId="77777777" w:rsidR="00C47BC8" w:rsidRDefault="00C47BC8">
            <w:pPr>
              <w:pStyle w:val="TableParagraph"/>
              <w:rPr>
                <w:rFonts w:ascii="Times New Roman"/>
                <w:sz w:val="18"/>
              </w:rPr>
            </w:pPr>
          </w:p>
        </w:tc>
        <w:tc>
          <w:tcPr>
            <w:tcW w:w="8498" w:type="dxa"/>
          </w:tcPr>
          <w:p w14:paraId="7C32DB91" w14:textId="77777777" w:rsidR="00C47BC8" w:rsidRDefault="00606574">
            <w:pPr>
              <w:pStyle w:val="TableParagraph"/>
              <w:spacing w:before="5" w:line="249" w:lineRule="auto"/>
              <w:ind w:left="102"/>
              <w:rPr>
                <w:sz w:val="20"/>
              </w:rPr>
            </w:pPr>
            <w:r>
              <w:rPr>
                <w:sz w:val="18"/>
              </w:rPr>
              <w:t>Il Fondo mira a investire in un portafoglio di titoli che, per quanto possibile e praticabile, sia costituito dai titoli che compongono l’Indice di Riferimento.</w:t>
            </w:r>
          </w:p>
        </w:tc>
      </w:tr>
    </w:tbl>
    <w:p w14:paraId="114D425A" w14:textId="77777777" w:rsidR="00C47BC8" w:rsidRDefault="00C47BC8">
      <w:pPr>
        <w:pStyle w:val="TableParagraph"/>
        <w:spacing w:line="249" w:lineRule="auto"/>
        <w:rPr>
          <w:sz w:val="20"/>
        </w:rPr>
        <w:sectPr w:rsidR="00C47BC8">
          <w:pgSz w:w="11910" w:h="16840"/>
          <w:pgMar w:top="1380" w:right="425" w:bottom="800" w:left="0" w:header="0" w:footer="617" w:gutter="0"/>
          <w:cols w:space="708"/>
        </w:sectPr>
      </w:pPr>
    </w:p>
    <w:p w14:paraId="5BF72201" w14:textId="77777777" w:rsidR="00C47BC8" w:rsidRDefault="00C47BC8">
      <w:pPr>
        <w:pStyle w:val="Corpotesto"/>
        <w:spacing w:before="6"/>
        <w:rPr>
          <w:b/>
          <w:sz w:val="2"/>
        </w:rPr>
      </w:pPr>
    </w:p>
    <w:tbl>
      <w:tblPr>
        <w:tblStyle w:val="TableNormal"/>
        <w:tblW w:w="0" w:type="auto"/>
        <w:tblInd w:w="26" w:type="dxa"/>
        <w:tblBorders>
          <w:top w:val="single" w:sz="4" w:space="0" w:color="E8E8E8"/>
          <w:left w:val="single" w:sz="4" w:space="0" w:color="E8E8E8"/>
          <w:bottom w:val="single" w:sz="4" w:space="0" w:color="E8E8E8"/>
          <w:right w:val="single" w:sz="4" w:space="0" w:color="E8E8E8"/>
          <w:insideH w:val="single" w:sz="4" w:space="0" w:color="E8E8E8"/>
          <w:insideV w:val="single" w:sz="4" w:space="0" w:color="E8E8E8"/>
        </w:tblBorders>
        <w:tblLayout w:type="fixed"/>
        <w:tblLook w:val="01E0" w:firstRow="1" w:lastRow="1" w:firstColumn="1" w:lastColumn="1" w:noHBand="0" w:noVBand="0"/>
      </w:tblPr>
      <w:tblGrid>
        <w:gridCol w:w="2440"/>
        <w:gridCol w:w="408"/>
        <w:gridCol w:w="2015"/>
        <w:gridCol w:w="168"/>
        <w:gridCol w:w="168"/>
        <w:gridCol w:w="1680"/>
        <w:gridCol w:w="4467"/>
      </w:tblGrid>
      <w:tr w:rsidR="00C47BC8" w14:paraId="2C337ADB" w14:textId="77777777">
        <w:trPr>
          <w:trHeight w:val="3110"/>
        </w:trPr>
        <w:tc>
          <w:tcPr>
            <w:tcW w:w="2440" w:type="dxa"/>
            <w:vMerge w:val="restart"/>
            <w:tcBorders>
              <w:bottom w:val="nil"/>
            </w:tcBorders>
            <w:shd w:val="clear" w:color="auto" w:fill="D9D9D9"/>
          </w:tcPr>
          <w:p w14:paraId="32E059C1" w14:textId="77777777" w:rsidR="00C47BC8" w:rsidRDefault="00606574">
            <w:pPr>
              <w:pStyle w:val="TableParagraph"/>
              <w:spacing w:before="205"/>
              <w:ind w:left="260" w:right="51"/>
              <w:rPr>
                <w:sz w:val="18"/>
              </w:rPr>
            </w:pPr>
            <w:r>
              <w:rPr>
                <w:sz w:val="16"/>
              </w:rPr>
              <w:t>Le attività allineate alla tassonomia sono espresse come quota di:</w:t>
            </w:r>
          </w:p>
          <w:p w14:paraId="63E00F56" w14:textId="77777777" w:rsidR="00C47BC8" w:rsidRDefault="00606574">
            <w:pPr>
              <w:pStyle w:val="TableParagraph"/>
              <w:tabs>
                <w:tab w:val="left" w:pos="563"/>
              </w:tabs>
              <w:spacing w:before="22" w:line="276" w:lineRule="auto"/>
              <w:ind w:left="563" w:right="214" w:hanging="304"/>
              <w:rPr>
                <w:sz w:val="18"/>
              </w:rPr>
            </w:pPr>
            <w:r>
              <w:rPr>
                <w:rFonts w:ascii="Calibri" w:hAnsi="Calibri"/>
                <w:spacing w:val="-10"/>
                <w:sz w:val="16"/>
              </w:rPr>
              <w:t>−</w:t>
            </w:r>
            <w:r>
              <w:rPr>
                <w:rFonts w:ascii="Calibri" w:hAnsi="Calibri"/>
                <w:sz w:val="16"/>
              </w:rPr>
              <w:tab/>
            </w:r>
            <w:r>
              <w:rPr>
                <w:b/>
                <w:sz w:val="16"/>
              </w:rPr>
              <w:t xml:space="preserve">fatturato, </w:t>
            </w:r>
            <w:r>
              <w:rPr>
                <w:sz w:val="16"/>
              </w:rPr>
              <w:t>riflettendo la quota di ricavi derivanti da attività verdi delle società partecipate</w:t>
            </w:r>
          </w:p>
          <w:p w14:paraId="25B9485C" w14:textId="77777777" w:rsidR="00C47BC8" w:rsidRDefault="00606574">
            <w:pPr>
              <w:pStyle w:val="TableParagraph"/>
              <w:spacing w:line="232" w:lineRule="auto"/>
              <w:ind w:left="563" w:right="194" w:hanging="304"/>
              <w:jc w:val="both"/>
              <w:rPr>
                <w:sz w:val="18"/>
              </w:rPr>
            </w:pPr>
            <w:r>
              <w:rPr>
                <w:rFonts w:ascii="Calibri" w:hAnsi="Calibri"/>
                <w:sz w:val="16"/>
              </w:rPr>
              <w:t>−</w:t>
            </w:r>
            <w:r>
              <w:rPr>
                <w:rFonts w:ascii="Calibri" w:hAnsi="Calibri"/>
                <w:sz w:val="16"/>
              </w:rPr>
              <w:t xml:space="preserve"> </w:t>
            </w:r>
            <w:r>
              <w:rPr>
                <w:b/>
                <w:sz w:val="16"/>
              </w:rPr>
              <w:t xml:space="preserve">spese in conto capitale </w:t>
            </w:r>
            <w:r>
              <w:rPr>
                <w:sz w:val="16"/>
              </w:rPr>
              <w:t>(CapEx) che mostrano gli investimenti verdi</w:t>
            </w:r>
          </w:p>
          <w:p w14:paraId="5019BD66" w14:textId="77777777" w:rsidR="00C47BC8" w:rsidRDefault="00606574">
            <w:pPr>
              <w:pStyle w:val="TableParagraph"/>
              <w:ind w:left="563" w:right="51"/>
              <w:rPr>
                <w:sz w:val="18"/>
              </w:rPr>
            </w:pPr>
            <w:r>
              <w:rPr>
                <w:sz w:val="16"/>
              </w:rPr>
              <w:t>effettuati dalle società partecipate, ad esempio per la transizione verso un’economia verde.</w:t>
            </w:r>
          </w:p>
          <w:p w14:paraId="0683D2F1" w14:textId="77777777" w:rsidR="00C47BC8" w:rsidRDefault="00606574">
            <w:pPr>
              <w:pStyle w:val="TableParagraph"/>
              <w:tabs>
                <w:tab w:val="left" w:pos="563"/>
              </w:tabs>
              <w:spacing w:before="14" w:line="276" w:lineRule="auto"/>
              <w:ind w:left="563" w:right="223" w:hanging="304"/>
              <w:rPr>
                <w:sz w:val="18"/>
              </w:rPr>
            </w:pPr>
            <w:r>
              <w:rPr>
                <w:rFonts w:ascii="Calibri" w:hAnsi="Calibri"/>
                <w:spacing w:val="-10"/>
                <w:sz w:val="16"/>
              </w:rPr>
              <w:t>−</w:t>
            </w:r>
            <w:r>
              <w:rPr>
                <w:rFonts w:ascii="Calibri" w:hAnsi="Calibri"/>
                <w:sz w:val="16"/>
              </w:rPr>
              <w:tab/>
            </w:r>
            <w:r>
              <w:rPr>
                <w:b/>
                <w:spacing w:val="-2"/>
                <w:sz w:val="16"/>
              </w:rPr>
              <w:t xml:space="preserve">spese operative </w:t>
            </w:r>
            <w:r>
              <w:rPr>
                <w:sz w:val="16"/>
              </w:rPr>
              <w:t>(OpEx) che riflettono le attività operative sostenibili delle società partecipate.</w:t>
            </w:r>
          </w:p>
        </w:tc>
        <w:tc>
          <w:tcPr>
            <w:tcW w:w="408" w:type="dxa"/>
          </w:tcPr>
          <w:p w14:paraId="0A4015B6" w14:textId="77777777" w:rsidR="00C47BC8" w:rsidRDefault="00C47BC8">
            <w:pPr>
              <w:pStyle w:val="TableParagraph"/>
              <w:rPr>
                <w:rFonts w:ascii="Times New Roman"/>
                <w:sz w:val="18"/>
              </w:rPr>
            </w:pPr>
          </w:p>
        </w:tc>
        <w:tc>
          <w:tcPr>
            <w:tcW w:w="8498" w:type="dxa"/>
            <w:gridSpan w:val="5"/>
          </w:tcPr>
          <w:p w14:paraId="578D9665" w14:textId="77777777" w:rsidR="00C47BC8" w:rsidRDefault="00606574">
            <w:pPr>
              <w:pStyle w:val="TableParagraph"/>
              <w:spacing w:before="4" w:line="249" w:lineRule="auto"/>
              <w:ind w:left="107" w:right="96"/>
              <w:jc w:val="both"/>
              <w:rPr>
                <w:sz w:val="20"/>
              </w:rPr>
            </w:pPr>
            <w:r>
              <w:rPr>
                <w:sz w:val="18"/>
              </w:rPr>
              <w:t>Si prevede che almeno l’80% del patrimonio del Fondo sarà investito in titoli compresi nell’Indice di Riferimento. Pertanto, ad ogni ribilanciamento dell’indice (o non appena ragionevolmente possibile e praticabile in seguito), il portafoglio del Fondo sarà ribilanciato in linea con il proprio Indice di Riferimento in modo che almeno l’80% del patrimonio del Fondo sia allineato alle caratteristiche ESG dell’Indice di Riferimento (ciò include il 20% del patrimonio del Fondo qualificato come investimenti sost</w:t>
            </w:r>
            <w:r>
              <w:rPr>
                <w:sz w:val="18"/>
              </w:rPr>
              <w:t>enibili) (come determinato al momento di tale ribilanciamento).</w:t>
            </w:r>
          </w:p>
          <w:p w14:paraId="6DCF9221" w14:textId="77777777" w:rsidR="00C47BC8" w:rsidRDefault="00C47BC8">
            <w:pPr>
              <w:pStyle w:val="TableParagraph"/>
              <w:spacing w:before="15"/>
              <w:rPr>
                <w:b/>
                <w:sz w:val="20"/>
              </w:rPr>
            </w:pPr>
          </w:p>
          <w:p w14:paraId="4F25FC57" w14:textId="77777777" w:rsidR="00C47BC8" w:rsidRDefault="00606574">
            <w:pPr>
              <w:pStyle w:val="TableParagraph"/>
              <w:spacing w:line="249" w:lineRule="auto"/>
              <w:ind w:left="107" w:right="95"/>
              <w:jc w:val="both"/>
              <w:rPr>
                <w:sz w:val="20"/>
              </w:rPr>
            </w:pPr>
            <w:r>
              <w:rPr>
                <w:sz w:val="18"/>
              </w:rPr>
              <w:t>Nel caso in cui uno qualsiasi degli investimenti cessi di soddisfare i requisiti ESG dell’Indice di Riferimento, il Fondo potrà continuare a detenere tali investimenti fino al momento in cui i titoli in questione cesseranno di far parte dell’Indice di Riferimento e sarà possibile e praticabile (a giudizio del Gestore degli Investimenti) liquidare la posizione.</w:t>
            </w:r>
          </w:p>
          <w:p w14:paraId="7F4E7549" w14:textId="77777777" w:rsidR="00C47BC8" w:rsidRDefault="00C47BC8">
            <w:pPr>
              <w:pStyle w:val="TableParagraph"/>
              <w:spacing w:before="10"/>
              <w:rPr>
                <w:b/>
                <w:sz w:val="20"/>
              </w:rPr>
            </w:pPr>
          </w:p>
          <w:p w14:paraId="7FF66FFF" w14:textId="77777777" w:rsidR="00C47BC8" w:rsidRDefault="00606574">
            <w:pPr>
              <w:pStyle w:val="TableParagraph"/>
              <w:spacing w:line="209" w:lineRule="exact"/>
              <w:ind w:left="107"/>
              <w:jc w:val="both"/>
              <w:rPr>
                <w:sz w:val="20"/>
              </w:rPr>
            </w:pPr>
            <w:r>
              <w:rPr>
                <w:noProof/>
                <w:sz w:val="20"/>
              </w:rPr>
              <mc:AlternateContent>
                <mc:Choice Requires="wpg">
                  <w:drawing>
                    <wp:anchor distT="0" distB="0" distL="0" distR="0" simplePos="0" relativeHeight="251676672" behindDoc="1" locked="0" layoutInCell="1" allowOverlap="1" wp14:anchorId="01B0951F" wp14:editId="6E5576BD">
                      <wp:simplePos x="0" y="0"/>
                      <wp:positionH relativeFrom="column">
                        <wp:posOffset>3047</wp:posOffset>
                      </wp:positionH>
                      <wp:positionV relativeFrom="paragraph">
                        <wp:posOffset>674622</wp:posOffset>
                      </wp:positionV>
                      <wp:extent cx="5389880" cy="1924050"/>
                      <wp:effectExtent l="0" t="0" r="0" b="0"/>
                      <wp:wrapNone/>
                      <wp:docPr id="23" name="Group 23"/>
                      <wp:cNvGraphicFramePr/>
                      <a:graphic xmlns:a="http://schemas.openxmlformats.org/drawingml/2006/main">
                        <a:graphicData uri="http://schemas.microsoft.com/office/word/2010/wordprocessingGroup">
                          <wpg:wgp>
                            <wpg:cNvGrpSpPr/>
                            <wpg:grpSpPr>
                              <a:xfrm>
                                <a:off x="0" y="0"/>
                                <a:ext cx="5389880" cy="1924050"/>
                                <a:chOff x="0" y="0"/>
                                <a:chExt cx="5389880" cy="1924050"/>
                              </a:xfrm>
                            </wpg:grpSpPr>
                            <wps:wsp>
                              <wps:cNvPr id="24" name="Graphic 24"/>
                              <wps:cNvSpPr/>
                              <wps:spPr>
                                <a:xfrm>
                                  <a:off x="0" y="0"/>
                                  <a:ext cx="5389880" cy="1924050"/>
                                </a:xfrm>
                                <a:custGeom>
                                  <a:avLst/>
                                  <a:gdLst/>
                                  <a:ahLst/>
                                  <a:cxnLst/>
                                  <a:rect l="l" t="t" r="r" b="b"/>
                                  <a:pathLst>
                                    <a:path w="5389880" h="1924050">
                                      <a:moveTo>
                                        <a:pt x="5389880" y="0"/>
                                      </a:moveTo>
                                      <a:lnTo>
                                        <a:pt x="0" y="0"/>
                                      </a:lnTo>
                                      <a:lnTo>
                                        <a:pt x="0" y="1924050"/>
                                      </a:lnTo>
                                      <a:lnTo>
                                        <a:pt x="5389880" y="1924050"/>
                                      </a:lnTo>
                                      <a:lnTo>
                                        <a:pt x="5389880" y="0"/>
                                      </a:lnTo>
                                      <a:close/>
                                    </a:path>
                                  </a:pathLst>
                                </a:custGeom>
                                <a:solidFill>
                                  <a:srgbClr val="F9E1D4"/>
                                </a:solidFill>
                              </wps:spPr>
                              <wps:bodyPr wrap="square" lIns="0" tIns="0" rIns="0" bIns="0" rtlCol="0">
                                <a:prstTxWarp prst="textNoShape">
                                  <a:avLst/>
                                </a:prstTxWarp>
                              </wps:bodyPr>
                            </wps:wsp>
                            <wps:wsp>
                              <wps:cNvPr id="25" name="Graphic 25"/>
                              <wps:cNvSpPr/>
                              <wps:spPr>
                                <a:xfrm>
                                  <a:off x="209550" y="1069327"/>
                                  <a:ext cx="1067435" cy="325755"/>
                                </a:xfrm>
                                <a:custGeom>
                                  <a:avLst/>
                                  <a:gdLst/>
                                  <a:ahLst/>
                                  <a:cxnLst/>
                                  <a:rect l="l" t="t" r="r" b="b"/>
                                  <a:pathLst>
                                    <a:path w="1067435" h="325755">
                                      <a:moveTo>
                                        <a:pt x="1066825" y="0"/>
                                      </a:moveTo>
                                      <a:lnTo>
                                        <a:pt x="0" y="0"/>
                                      </a:lnTo>
                                      <a:lnTo>
                                        <a:pt x="0" y="325386"/>
                                      </a:lnTo>
                                      <a:lnTo>
                                        <a:pt x="1066825" y="325386"/>
                                      </a:lnTo>
                                      <a:lnTo>
                                        <a:pt x="1066825" y="0"/>
                                      </a:lnTo>
                                      <a:close/>
                                    </a:path>
                                  </a:pathLst>
                                </a:custGeom>
                                <a:solidFill>
                                  <a:srgbClr val="D9D9D9"/>
                                </a:solidFill>
                              </wps:spPr>
                              <wps:bodyPr wrap="square" lIns="0" tIns="0" rIns="0" bIns="0" rtlCol="0">
                                <a:prstTxWarp prst="textNoShape">
                                  <a:avLst/>
                                </a:prstTxWarp>
                              </wps:bodyPr>
                            </wps:wsp>
                            <wps:wsp>
                              <wps:cNvPr id="26" name="Graphic 26"/>
                              <wps:cNvSpPr/>
                              <wps:spPr>
                                <a:xfrm>
                                  <a:off x="1489710" y="732726"/>
                                  <a:ext cx="1067435" cy="539750"/>
                                </a:xfrm>
                                <a:custGeom>
                                  <a:avLst/>
                                  <a:gdLst/>
                                  <a:ahLst/>
                                  <a:cxnLst/>
                                  <a:rect l="l" t="t" r="r" b="b"/>
                                  <a:pathLst>
                                    <a:path w="1067435" h="539750">
                                      <a:moveTo>
                                        <a:pt x="1066825" y="0"/>
                                      </a:moveTo>
                                      <a:lnTo>
                                        <a:pt x="0" y="0"/>
                                      </a:lnTo>
                                      <a:lnTo>
                                        <a:pt x="0" y="539686"/>
                                      </a:lnTo>
                                      <a:lnTo>
                                        <a:pt x="1066825" y="539686"/>
                                      </a:lnTo>
                                      <a:lnTo>
                                        <a:pt x="1066825" y="0"/>
                                      </a:lnTo>
                                      <a:close/>
                                    </a:path>
                                  </a:pathLst>
                                </a:custGeom>
                                <a:solidFill>
                                  <a:srgbClr val="009900"/>
                                </a:solidFill>
                              </wps:spPr>
                              <wps:bodyPr wrap="square" lIns="0" tIns="0" rIns="0" bIns="0" rtlCol="0">
                                <a:prstTxWarp prst="textNoShape">
                                  <a:avLst/>
                                </a:prstTxWarp>
                              </wps:bodyPr>
                            </wps:wsp>
                            <pic:pic xmlns:pic="http://schemas.openxmlformats.org/drawingml/2006/picture">
                              <pic:nvPicPr>
                                <pic:cNvPr id="27" name="Image 27"/>
                                <pic:cNvPicPr/>
                              </pic:nvPicPr>
                              <pic:blipFill>
                                <a:blip r:embed="rId21" cstate="print"/>
                                <a:stretch>
                                  <a:fillRect/>
                                </a:stretch>
                              </pic:blipFill>
                              <pic:spPr>
                                <a:xfrm>
                                  <a:off x="2757423" y="289242"/>
                                  <a:ext cx="1142250" cy="400875"/>
                                </a:xfrm>
                                <a:prstGeom prst="rect">
                                  <a:avLst/>
                                </a:prstGeom>
                              </pic:spPr>
                            </pic:pic>
                            <pic:pic xmlns:pic="http://schemas.openxmlformats.org/drawingml/2006/picture">
                              <pic:nvPicPr>
                                <pic:cNvPr id="28" name="Image 28"/>
                                <pic:cNvPicPr/>
                              </pic:nvPicPr>
                              <pic:blipFill>
                                <a:blip r:embed="rId22" cstate="print"/>
                                <a:stretch>
                                  <a:fillRect/>
                                </a:stretch>
                              </pic:blipFill>
                              <pic:spPr>
                                <a:xfrm>
                                  <a:off x="2850388" y="340296"/>
                                  <a:ext cx="1008126" cy="319341"/>
                                </a:xfrm>
                                <a:prstGeom prst="rect">
                                  <a:avLst/>
                                </a:prstGeom>
                              </pic:spPr>
                            </pic:pic>
                            <wps:wsp>
                              <wps:cNvPr id="29" name="Graphic 29"/>
                              <wps:cNvSpPr/>
                              <wps:spPr>
                                <a:xfrm>
                                  <a:off x="2798572" y="307073"/>
                                  <a:ext cx="1067435" cy="325755"/>
                                </a:xfrm>
                                <a:custGeom>
                                  <a:avLst/>
                                  <a:gdLst/>
                                  <a:ahLst/>
                                  <a:cxnLst/>
                                  <a:rect l="l" t="t" r="r" b="b"/>
                                  <a:pathLst>
                                    <a:path w="1067435" h="325755">
                                      <a:moveTo>
                                        <a:pt x="1066825" y="0"/>
                                      </a:moveTo>
                                      <a:lnTo>
                                        <a:pt x="0" y="0"/>
                                      </a:lnTo>
                                      <a:lnTo>
                                        <a:pt x="0" y="325386"/>
                                      </a:lnTo>
                                      <a:lnTo>
                                        <a:pt x="1066825" y="325386"/>
                                      </a:lnTo>
                                      <a:lnTo>
                                        <a:pt x="1066825" y="0"/>
                                      </a:lnTo>
                                      <a:close/>
                                    </a:path>
                                  </a:pathLst>
                                </a:custGeom>
                                <a:solidFill>
                                  <a:srgbClr val="245539"/>
                                </a:solidFill>
                              </wps:spPr>
                              <wps:bodyPr wrap="square" lIns="0" tIns="0" rIns="0" bIns="0" rtlCol="0">
                                <a:prstTxWarp prst="textNoShape">
                                  <a:avLst/>
                                </a:prstTxWarp>
                              </wps:bodyPr>
                            </wps:wsp>
                            <pic:pic xmlns:pic="http://schemas.openxmlformats.org/drawingml/2006/picture">
                              <pic:nvPicPr>
                                <pic:cNvPr id="30" name="Image 30"/>
                                <pic:cNvPicPr/>
                              </pic:nvPicPr>
                              <pic:blipFill>
                                <a:blip r:embed="rId21" cstate="print"/>
                                <a:stretch>
                                  <a:fillRect/>
                                </a:stretch>
                              </pic:blipFill>
                              <pic:spPr>
                                <a:xfrm>
                                  <a:off x="4008628" y="174180"/>
                                  <a:ext cx="1143012" cy="400875"/>
                                </a:xfrm>
                                <a:prstGeom prst="rect">
                                  <a:avLst/>
                                </a:prstGeom>
                              </pic:spPr>
                            </pic:pic>
                            <pic:pic xmlns:pic="http://schemas.openxmlformats.org/drawingml/2006/picture">
                              <pic:nvPicPr>
                                <pic:cNvPr id="31" name="Image 31"/>
                                <pic:cNvPicPr/>
                              </pic:nvPicPr>
                              <pic:blipFill>
                                <a:blip r:embed="rId23" cstate="print"/>
                                <a:stretch>
                                  <a:fillRect/>
                                </a:stretch>
                              </pic:blipFill>
                              <pic:spPr>
                                <a:xfrm>
                                  <a:off x="4040632" y="123939"/>
                                  <a:ext cx="1078217" cy="526554"/>
                                </a:xfrm>
                                <a:prstGeom prst="rect">
                                  <a:avLst/>
                                </a:prstGeom>
                              </pic:spPr>
                            </pic:pic>
                            <wps:wsp>
                              <wps:cNvPr id="32" name="Graphic 32"/>
                              <wps:cNvSpPr/>
                              <wps:spPr>
                                <a:xfrm>
                                  <a:off x="4050157" y="192011"/>
                                  <a:ext cx="1067435" cy="325755"/>
                                </a:xfrm>
                                <a:custGeom>
                                  <a:avLst/>
                                  <a:gdLst/>
                                  <a:ahLst/>
                                  <a:cxnLst/>
                                  <a:rect l="l" t="t" r="r" b="b"/>
                                  <a:pathLst>
                                    <a:path w="1067435" h="325755">
                                      <a:moveTo>
                                        <a:pt x="1066825" y="0"/>
                                      </a:moveTo>
                                      <a:lnTo>
                                        <a:pt x="0" y="0"/>
                                      </a:lnTo>
                                      <a:lnTo>
                                        <a:pt x="0" y="325386"/>
                                      </a:lnTo>
                                      <a:lnTo>
                                        <a:pt x="1066825" y="325386"/>
                                      </a:lnTo>
                                      <a:lnTo>
                                        <a:pt x="1066825" y="0"/>
                                      </a:lnTo>
                                      <a:close/>
                                    </a:path>
                                  </a:pathLst>
                                </a:custGeom>
                                <a:solidFill>
                                  <a:srgbClr val="008000"/>
                                </a:solidFill>
                              </wps:spPr>
                              <wps:bodyPr wrap="square" lIns="0" tIns="0" rIns="0" bIns="0" rtlCol="0">
                                <a:prstTxWarp prst="textNoShape">
                                  <a:avLst/>
                                </a:prstTxWarp>
                              </wps:bodyPr>
                            </wps:wsp>
                            <wps:wsp>
                              <wps:cNvPr id="33" name="Graphic 33"/>
                              <wps:cNvSpPr/>
                              <wps:spPr>
                                <a:xfrm>
                                  <a:off x="4050157" y="650735"/>
                                  <a:ext cx="1067435" cy="325755"/>
                                </a:xfrm>
                                <a:custGeom>
                                  <a:avLst/>
                                  <a:gdLst/>
                                  <a:ahLst/>
                                  <a:cxnLst/>
                                  <a:rect l="l" t="t" r="r" b="b"/>
                                  <a:pathLst>
                                    <a:path w="1067435" h="325755">
                                      <a:moveTo>
                                        <a:pt x="1066825" y="0"/>
                                      </a:moveTo>
                                      <a:lnTo>
                                        <a:pt x="0" y="0"/>
                                      </a:lnTo>
                                      <a:lnTo>
                                        <a:pt x="0" y="325386"/>
                                      </a:lnTo>
                                      <a:lnTo>
                                        <a:pt x="1066825" y="325386"/>
                                      </a:lnTo>
                                      <a:lnTo>
                                        <a:pt x="1066825" y="0"/>
                                      </a:lnTo>
                                      <a:close/>
                                    </a:path>
                                  </a:pathLst>
                                </a:custGeom>
                                <a:solidFill>
                                  <a:srgbClr val="155F82"/>
                                </a:solidFill>
                              </wps:spPr>
                              <wps:bodyPr wrap="square" lIns="0" tIns="0" rIns="0" bIns="0" rtlCol="0">
                                <a:prstTxWarp prst="textNoShape">
                                  <a:avLst/>
                                </a:prstTxWarp>
                              </wps:bodyPr>
                            </wps:wsp>
                            <pic:pic xmlns:pic="http://schemas.openxmlformats.org/drawingml/2006/picture">
                              <pic:nvPicPr>
                                <pic:cNvPr id="34" name="Image 34"/>
                                <pic:cNvPicPr/>
                              </pic:nvPicPr>
                              <pic:blipFill>
                                <a:blip r:embed="rId24" cstate="print"/>
                                <a:stretch>
                                  <a:fillRect/>
                                </a:stretch>
                              </pic:blipFill>
                              <pic:spPr>
                                <a:xfrm>
                                  <a:off x="2815335" y="844842"/>
                                  <a:ext cx="1142250" cy="778725"/>
                                </a:xfrm>
                                <a:prstGeom prst="rect">
                                  <a:avLst/>
                                </a:prstGeom>
                              </pic:spPr>
                            </pic:pic>
                            <pic:pic xmlns:pic="http://schemas.openxmlformats.org/drawingml/2006/picture">
                              <pic:nvPicPr>
                                <pic:cNvPr id="35" name="Image 35"/>
                                <pic:cNvPicPr/>
                              </pic:nvPicPr>
                              <pic:blipFill>
                                <a:blip r:embed="rId25" cstate="print"/>
                                <a:stretch>
                                  <a:fillRect/>
                                </a:stretch>
                              </pic:blipFill>
                              <pic:spPr>
                                <a:xfrm>
                                  <a:off x="2944876" y="1022324"/>
                                  <a:ext cx="900671" cy="444271"/>
                                </a:xfrm>
                                <a:prstGeom prst="rect">
                                  <a:avLst/>
                                </a:prstGeom>
                              </pic:spPr>
                            </pic:pic>
                            <wps:wsp>
                              <wps:cNvPr id="36" name="Graphic 36"/>
                              <wps:cNvSpPr/>
                              <wps:spPr>
                                <a:xfrm>
                                  <a:off x="2856357" y="862838"/>
                                  <a:ext cx="1067435" cy="703580"/>
                                </a:xfrm>
                                <a:custGeom>
                                  <a:avLst/>
                                  <a:gdLst/>
                                  <a:ahLst/>
                                  <a:cxnLst/>
                                  <a:rect l="l" t="t" r="r" b="b"/>
                                  <a:pathLst>
                                    <a:path w="1067435" h="703580">
                                      <a:moveTo>
                                        <a:pt x="1066825" y="0"/>
                                      </a:moveTo>
                                      <a:lnTo>
                                        <a:pt x="0" y="0"/>
                                      </a:lnTo>
                                      <a:lnTo>
                                        <a:pt x="0" y="703579"/>
                                      </a:lnTo>
                                      <a:lnTo>
                                        <a:pt x="1066825" y="703579"/>
                                      </a:lnTo>
                                      <a:lnTo>
                                        <a:pt x="1066825" y="0"/>
                                      </a:lnTo>
                                      <a:close/>
                                    </a:path>
                                  </a:pathLst>
                                </a:custGeom>
                                <a:solidFill>
                                  <a:srgbClr val="B4E4A1"/>
                                </a:solidFill>
                              </wps:spPr>
                              <wps:bodyPr wrap="square" lIns="0" tIns="0" rIns="0" bIns="0" rtlCol="0">
                                <a:prstTxWarp prst="textNoShape">
                                  <a:avLst/>
                                </a:prstTxWarp>
                              </wps:bodyPr>
                            </wps:wsp>
                            <pic:pic xmlns:pic="http://schemas.openxmlformats.org/drawingml/2006/picture">
                              <pic:nvPicPr>
                                <pic:cNvPr id="37" name="Image 37"/>
                                <pic:cNvPicPr/>
                              </pic:nvPicPr>
                              <pic:blipFill>
                                <a:blip r:embed="rId26" cstate="print"/>
                                <a:stretch>
                                  <a:fillRect/>
                                </a:stretch>
                              </pic:blipFill>
                              <pic:spPr>
                                <a:xfrm>
                                  <a:off x="1448308" y="1387284"/>
                                  <a:ext cx="1142250" cy="400875"/>
                                </a:xfrm>
                                <a:prstGeom prst="rect">
                                  <a:avLst/>
                                </a:prstGeom>
                              </pic:spPr>
                            </pic:pic>
                            <pic:pic xmlns:pic="http://schemas.openxmlformats.org/drawingml/2006/picture">
                              <pic:nvPicPr>
                                <pic:cNvPr id="38" name="Image 38"/>
                                <pic:cNvPicPr/>
                              </pic:nvPicPr>
                              <pic:blipFill>
                                <a:blip r:embed="rId27" cstate="print"/>
                                <a:stretch>
                                  <a:fillRect/>
                                </a:stretch>
                              </pic:blipFill>
                              <pic:spPr>
                                <a:xfrm>
                                  <a:off x="1705864" y="1439100"/>
                                  <a:ext cx="626338" cy="319341"/>
                                </a:xfrm>
                                <a:prstGeom prst="rect">
                                  <a:avLst/>
                                </a:prstGeom>
                              </pic:spPr>
                            </pic:pic>
                            <wps:wsp>
                              <wps:cNvPr id="39" name="Graphic 39"/>
                              <wps:cNvSpPr/>
                              <wps:spPr>
                                <a:xfrm>
                                  <a:off x="1489710" y="1405750"/>
                                  <a:ext cx="1067435" cy="325755"/>
                                </a:xfrm>
                                <a:custGeom>
                                  <a:avLst/>
                                  <a:gdLst/>
                                  <a:ahLst/>
                                  <a:cxnLst/>
                                  <a:rect l="l" t="t" r="r" b="b"/>
                                  <a:pathLst>
                                    <a:path w="1067435" h="325755">
                                      <a:moveTo>
                                        <a:pt x="1066825" y="0"/>
                                      </a:moveTo>
                                      <a:lnTo>
                                        <a:pt x="0" y="0"/>
                                      </a:lnTo>
                                      <a:lnTo>
                                        <a:pt x="0" y="325386"/>
                                      </a:lnTo>
                                      <a:lnTo>
                                        <a:pt x="1066825" y="325386"/>
                                      </a:lnTo>
                                      <a:lnTo>
                                        <a:pt x="1066825" y="0"/>
                                      </a:lnTo>
                                      <a:close/>
                                    </a:path>
                                  </a:pathLst>
                                </a:custGeom>
                                <a:solidFill>
                                  <a:srgbClr val="B4E4A1"/>
                                </a:solidFill>
                              </wps:spPr>
                              <wps:bodyPr wrap="square" lIns="0" tIns="0" rIns="0" bIns="0" rtlCol="0">
                                <a:prstTxWarp prst="textNoShape">
                                  <a:avLst/>
                                </a:prstTxWarp>
                              </wps:bodyPr>
                            </wps:wsp>
                            <wps:wsp>
                              <wps:cNvPr id="40" name="Textbox 40"/>
                              <wps:cNvSpPr txBox="1"/>
                              <wps:spPr>
                                <a:xfrm>
                                  <a:off x="456183" y="1178941"/>
                                  <a:ext cx="585470" cy="114300"/>
                                </a:xfrm>
                                <a:prstGeom prst="rect">
                                  <a:avLst/>
                                </a:prstGeom>
                              </wps:spPr>
                              <wps:txbx>
                                <w:txbxContent>
                                  <w:p w14:paraId="19DD62BF" w14:textId="77777777" w:rsidR="00C47BC8" w:rsidRDefault="00606574">
                                    <w:pPr>
                                      <w:spacing w:line="180" w:lineRule="exact"/>
                                      <w:rPr>
                                        <w:rFonts w:ascii="Calibri"/>
                                        <w:sz w:val="18"/>
                                      </w:rPr>
                                    </w:pPr>
                                    <w:r>
                                      <w:rPr>
                                        <w:rFonts w:ascii="Calibri"/>
                                        <w:spacing w:val="-2"/>
                                        <w:sz w:val="16"/>
                                      </w:rPr>
                                      <w:t>Investimenti</w:t>
                                    </w:r>
                                  </w:p>
                                </w:txbxContent>
                              </wps:txbx>
                              <wps:bodyPr wrap="square" lIns="0" tIns="0" rIns="0" bIns="0" rtlCol="0"/>
                            </wps:wsp>
                          </wpg:wgp>
                        </a:graphicData>
                      </a:graphic>
                    </wp:anchor>
                  </w:drawing>
                </mc:Choice>
                <mc:Fallback>
                  <w:pict>
                    <v:group w14:anchorId="01B0951F" id="Group 23" o:spid="_x0000_s1026" style="position:absolute;left:0;text-align:left;margin-left:.25pt;margin-top:53.1pt;width:424.4pt;height:151.5pt;z-index:-251639808;mso-wrap-distance-left:0;mso-wrap-distance-right:0" coordsize="53898,192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">
                      <v:shape id="Graphic 24" o:spid="_x0000_s1027" style="position:absolute;width:53898;height:19240;visibility:visible;mso-wrap-style:square;v-text-anchor:top" coordsize="5389880,1924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" path="m5389880,l,,,1924050r5389880,l5389880,xe" fillcolor="#f9e1d4" stroked="f">
                        <v:path arrowok="t"/>
                      </v:shape>
                      <v:shape id="Graphic 25" o:spid="_x0000_s1028" style="position:absolute;left:2095;top:10693;width:10674;height:3257;visibility:visible;mso-wrap-style:square;v-text-anchor:top" coordsize="1067435,325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" path="m1066825,l,,,325386r1066825,l1066825,xe" fillcolor="#d9d9d9" stroked="f">
                        <v:path arrowok="t"/>
                      </v:shape>
                      <v:shape id="Graphic 26" o:spid="_x0000_s1029" style="position:absolute;left:14897;top:7327;width:10674;height:5397;visibility:visible;mso-wrap-style:square;v-text-anchor:top" coordsize="1067435,53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" path="m1066825,l,,,539686r1066825,l1066825,xe" fillcolor="#090" stroked="f">
                        <v:path arrowok="t"/>
                      </v:shape>
                      <v:shape id="Image 27" o:spid="_x0000_s1030" type="#_x0000_t75" style="position:absolute;left:27574;top:2892;width:11422;height:40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">
                        <v:imagedata r:id="rId28" o:title=""/>
                      </v:shape>
                      <v:shape id="Image 28" o:spid="_x0000_s1031" type="#_x0000_t75" style="position:absolute;left:28503;top:3402;width:10082;height:31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">
                        <v:imagedata r:id="rId29" o:title=""/>
                      </v:shape>
                      <v:shape id="Graphic 29" o:spid="_x0000_s1032" style="position:absolute;left:27985;top:3070;width:10675;height:3258;visibility:visible;mso-wrap-style:square;v-text-anchor:top" coordsize="1067435,325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" path="m1066825,l,,,325386r1066825,l1066825,xe" fillcolor="#245539" stroked="f">
                        <v:path arrowok="t"/>
                      </v:shape>
                      <v:shape id="Image 30" o:spid="_x0000_s1033" type="#_x0000_t75" style="position:absolute;left:40086;top:1741;width:11430;height:40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">
                        <v:imagedata r:id="rId28" o:title=""/>
                      </v:shape>
                      <v:shape id="Image 31" o:spid="_x0000_s1034" type="#_x0000_t75" style="position:absolute;left:40406;top:1239;width:10782;height:52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">
                        <v:imagedata r:id="rId30" o:title=""/>
                      </v:shape>
                      <v:shape id="Graphic 32" o:spid="_x0000_s1035" style="position:absolute;left:40501;top:1920;width:10674;height:3257;visibility:visible;mso-wrap-style:square;v-text-anchor:top" coordsize="1067435,325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" path="m1066825,l,,,325386r1066825,l1066825,xe" fillcolor="green" stroked="f">
                        <v:path arrowok="t"/>
                      </v:shape>
                      <v:shape id="Graphic 33" o:spid="_x0000_s1036" style="position:absolute;left:40501;top:6507;width:10674;height:3257;visibility:visible;mso-wrap-style:square;v-text-anchor:top" coordsize="1067435,325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" path="m1066825,l,,,325386r1066825,l1066825,xe" fillcolor="#155f82" stroked="f">
                        <v:path arrowok="t"/>
                      </v:shape>
                      <v:shape id="Image 34" o:spid="_x0000_s1037" type="#_x0000_t75" style="position:absolute;left:28153;top:8448;width:11422;height:77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">
                        <v:imagedata r:id="rId31" o:title=""/>
                      </v:shape>
                      <v:shape id="Image 35" o:spid="_x0000_s1038" type="#_x0000_t75" style="position:absolute;left:29448;top:10223;width:9007;height:44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">
                        <v:imagedata r:id="rId32" o:title=""/>
                      </v:shape>
                      <v:shape id="Graphic 36" o:spid="_x0000_s1039" style="position:absolute;left:28563;top:8628;width:10674;height:7036;visibility:visible;mso-wrap-style:square;v-text-anchor:top" coordsize="1067435,703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" path="m1066825,l,,,703579r1066825,l1066825,xe" fillcolor="#b4e4a1" stroked="f">
                        <v:path arrowok="t"/>
                      </v:shape>
                      <v:shape id="Image 37" o:spid="_x0000_s1040" type="#_x0000_t75" style="position:absolute;left:14483;top:13872;width:11422;height:40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">
                        <v:imagedata r:id="rId33" o:title=""/>
                      </v:shape>
                      <v:shape id="Image 38" o:spid="_x0000_s1041" type="#_x0000_t75" style="position:absolute;left:17058;top:14391;width:6264;height:3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">
                        <v:imagedata r:id="rId34" o:title=""/>
                      </v:shape>
                      <v:shape id="Graphic 39" o:spid="_x0000_s1042" style="position:absolute;left:14897;top:14057;width:10674;height:3258;visibility:visible;mso-wrap-style:square;v-text-anchor:top" coordsize="1067435,325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" path="m1066825,l,,,325386r1066825,l1066825,xe" fillcolor="#b4e4a1" stroked="f">
                        <v:path arrowok="t"/>
                      </v:shape>
                      <v:shapetype id="_x0000_t202" coordsize="21600,21600" o:spt="202" path="m,l,21600r21600,l21600,xe">
                        <v:stroke joinstyle="miter"/>
                        <v:path gradientshapeok="t" o:connecttype="rect"/>
                      </v:shapetype>
                      <v:shape id="Textbox 40" o:spid="_x0000_s1043" type="#_x0000_t202" style="position:absolute;left:4561;top:11789;width:5855;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19DD62BF" w14:textId="77777777" w:rsidR="00C47BC8" w:rsidRDefault="00606574">
                              <w:pPr>
                                <w:spacing w:line="180" w:lineRule="exact"/>
                                <w:rPr>
                                  <w:rFonts w:ascii="Calibri"/>
                                  <w:sz w:val="18"/>
                                </w:rPr>
                              </w:pPr>
                              <w:r>
                                <w:rPr>
                                  <w:rFonts w:ascii="Calibri"/>
                                  <w:spacing w:val="-2"/>
                                  <w:sz w:val="16"/>
                                </w:rPr>
                                <w:t>Investimenti</w:t>
                              </w:r>
                            </w:p>
                          </w:txbxContent>
                        </v:textbox>
                      </v:shape>
                    </v:group>
                  </w:pict>
                </mc:Fallback>
              </mc:AlternateContent>
            </w:r>
            <w:r>
              <w:rPr>
                <w:sz w:val="18"/>
              </w:rPr>
              <w:t>Il Fondo può investire fino al 20% del proprio patrimonio totale in altri investimenti (“#2 Altro”).</w:t>
            </w:r>
          </w:p>
        </w:tc>
      </w:tr>
      <w:tr w:rsidR="00C47BC8" w14:paraId="16E166B5" w14:textId="77777777">
        <w:trPr>
          <w:trHeight w:val="229"/>
        </w:trPr>
        <w:tc>
          <w:tcPr>
            <w:tcW w:w="2440" w:type="dxa"/>
            <w:vMerge/>
            <w:tcBorders>
              <w:top w:val="nil"/>
              <w:bottom w:val="nil"/>
            </w:tcBorders>
            <w:shd w:val="clear" w:color="auto" w:fill="D9D9D9"/>
          </w:tcPr>
          <w:p w14:paraId="4DFCE8B8" w14:textId="77777777" w:rsidR="00C47BC8" w:rsidRDefault="00C47BC8">
            <w:pPr>
              <w:rPr>
                <w:sz w:val="2"/>
                <w:szCs w:val="2"/>
              </w:rPr>
            </w:pPr>
          </w:p>
        </w:tc>
        <w:tc>
          <w:tcPr>
            <w:tcW w:w="408" w:type="dxa"/>
          </w:tcPr>
          <w:p w14:paraId="7A78A76B" w14:textId="77777777" w:rsidR="00C47BC8" w:rsidRDefault="00C47BC8">
            <w:pPr>
              <w:pStyle w:val="TableParagraph"/>
              <w:rPr>
                <w:rFonts w:ascii="Times New Roman"/>
                <w:sz w:val="16"/>
              </w:rPr>
            </w:pPr>
          </w:p>
        </w:tc>
        <w:tc>
          <w:tcPr>
            <w:tcW w:w="8498" w:type="dxa"/>
            <w:gridSpan w:val="5"/>
          </w:tcPr>
          <w:p w14:paraId="01BBA624" w14:textId="77777777" w:rsidR="00C47BC8" w:rsidRDefault="00C47BC8">
            <w:pPr>
              <w:pStyle w:val="TableParagraph"/>
              <w:rPr>
                <w:rFonts w:ascii="Times New Roman"/>
                <w:sz w:val="16"/>
              </w:rPr>
            </w:pPr>
          </w:p>
        </w:tc>
      </w:tr>
      <w:tr w:rsidR="00C47BC8" w14:paraId="330ED5CD" w14:textId="77777777">
        <w:trPr>
          <w:trHeight w:val="572"/>
        </w:trPr>
        <w:tc>
          <w:tcPr>
            <w:tcW w:w="2440" w:type="dxa"/>
            <w:vMerge/>
            <w:tcBorders>
              <w:top w:val="nil"/>
              <w:bottom w:val="nil"/>
            </w:tcBorders>
            <w:shd w:val="clear" w:color="auto" w:fill="D9D9D9"/>
          </w:tcPr>
          <w:p w14:paraId="602DE700" w14:textId="77777777" w:rsidR="00C47BC8" w:rsidRDefault="00C47BC8">
            <w:pPr>
              <w:rPr>
                <w:sz w:val="2"/>
                <w:szCs w:val="2"/>
              </w:rPr>
            </w:pPr>
          </w:p>
        </w:tc>
        <w:tc>
          <w:tcPr>
            <w:tcW w:w="408" w:type="dxa"/>
          </w:tcPr>
          <w:p w14:paraId="5C03D326" w14:textId="77777777" w:rsidR="00C47BC8" w:rsidRDefault="00C47BC8">
            <w:pPr>
              <w:pStyle w:val="TableParagraph"/>
              <w:rPr>
                <w:rFonts w:ascii="Times New Roman"/>
                <w:sz w:val="18"/>
              </w:rPr>
            </w:pPr>
          </w:p>
        </w:tc>
        <w:tc>
          <w:tcPr>
            <w:tcW w:w="8498" w:type="dxa"/>
            <w:gridSpan w:val="5"/>
            <w:shd w:val="clear" w:color="auto" w:fill="F9E1D4"/>
          </w:tcPr>
          <w:p w14:paraId="19C84514" w14:textId="77777777" w:rsidR="00C47BC8" w:rsidRDefault="00C47BC8">
            <w:pPr>
              <w:pStyle w:val="TableParagraph"/>
              <w:rPr>
                <w:rFonts w:ascii="Times New Roman"/>
                <w:sz w:val="18"/>
              </w:rPr>
            </w:pPr>
          </w:p>
        </w:tc>
      </w:tr>
      <w:tr w:rsidR="00C47BC8" w14:paraId="69E8D9E6" w14:textId="77777777">
        <w:trPr>
          <w:trHeight w:val="1935"/>
        </w:trPr>
        <w:tc>
          <w:tcPr>
            <w:tcW w:w="2440" w:type="dxa"/>
            <w:vMerge/>
            <w:tcBorders>
              <w:top w:val="nil"/>
              <w:bottom w:val="nil"/>
            </w:tcBorders>
            <w:shd w:val="clear" w:color="auto" w:fill="D9D9D9"/>
          </w:tcPr>
          <w:p w14:paraId="5B2CE287" w14:textId="77777777" w:rsidR="00C47BC8" w:rsidRDefault="00C47BC8">
            <w:pPr>
              <w:rPr>
                <w:sz w:val="2"/>
                <w:szCs w:val="2"/>
              </w:rPr>
            </w:pPr>
          </w:p>
        </w:tc>
        <w:tc>
          <w:tcPr>
            <w:tcW w:w="408" w:type="dxa"/>
            <w:vMerge w:val="restart"/>
          </w:tcPr>
          <w:p w14:paraId="63FB32B4" w14:textId="77777777" w:rsidR="00C47BC8" w:rsidRDefault="00C47BC8">
            <w:pPr>
              <w:pStyle w:val="TableParagraph"/>
              <w:rPr>
                <w:rFonts w:ascii="Times New Roman"/>
                <w:sz w:val="18"/>
              </w:rPr>
            </w:pPr>
          </w:p>
        </w:tc>
        <w:tc>
          <w:tcPr>
            <w:tcW w:w="4031" w:type="dxa"/>
            <w:gridSpan w:val="4"/>
            <w:tcBorders>
              <w:bottom w:val="nil"/>
              <w:right w:val="nil"/>
            </w:tcBorders>
          </w:tcPr>
          <w:p w14:paraId="36D4FF2E" w14:textId="77777777" w:rsidR="00C47BC8" w:rsidRDefault="00C47BC8">
            <w:pPr>
              <w:pStyle w:val="TableParagraph"/>
              <w:rPr>
                <w:b/>
                <w:sz w:val="20"/>
              </w:rPr>
            </w:pPr>
          </w:p>
          <w:p w14:paraId="244E4EBF" w14:textId="77777777" w:rsidR="00C47BC8" w:rsidRDefault="00C47BC8">
            <w:pPr>
              <w:pStyle w:val="TableParagraph"/>
              <w:rPr>
                <w:b/>
                <w:sz w:val="20"/>
              </w:rPr>
            </w:pPr>
          </w:p>
          <w:p w14:paraId="6B2FB05A" w14:textId="77777777" w:rsidR="00C47BC8" w:rsidRDefault="00C47BC8">
            <w:pPr>
              <w:pStyle w:val="TableParagraph"/>
              <w:rPr>
                <w:b/>
                <w:sz w:val="20"/>
              </w:rPr>
            </w:pPr>
          </w:p>
          <w:p w14:paraId="1F8D6B07" w14:textId="77777777" w:rsidR="00C47BC8" w:rsidRDefault="00C47BC8">
            <w:pPr>
              <w:pStyle w:val="TableParagraph"/>
              <w:rPr>
                <w:b/>
                <w:sz w:val="20"/>
              </w:rPr>
            </w:pPr>
          </w:p>
          <w:p w14:paraId="0F4FA89D" w14:textId="77777777" w:rsidR="00C47BC8" w:rsidRDefault="00C47BC8">
            <w:pPr>
              <w:pStyle w:val="TableParagraph"/>
              <w:spacing w:before="204"/>
              <w:rPr>
                <w:b/>
                <w:sz w:val="20"/>
              </w:rPr>
            </w:pPr>
          </w:p>
          <w:p w14:paraId="7E0443EE" w14:textId="77777777" w:rsidR="00C47BC8" w:rsidRDefault="00606574">
            <w:pPr>
              <w:pStyle w:val="TableParagraph"/>
              <w:spacing w:before="1" w:line="216" w:lineRule="auto"/>
              <w:ind w:left="2592" w:right="23" w:hanging="169"/>
              <w:rPr>
                <w:rFonts w:ascii="Calibri"/>
                <w:sz w:val="20"/>
              </w:rPr>
            </w:pPr>
            <w:r>
              <w:rPr>
                <w:rFonts w:ascii="Calibri"/>
                <w:noProof/>
                <w:sz w:val="20"/>
              </w:rPr>
              <mc:AlternateContent>
                <mc:Choice Requires="wpg">
                  <w:drawing>
                    <wp:anchor distT="0" distB="0" distL="0" distR="0" simplePos="0" relativeHeight="251668480" behindDoc="0" locked="0" layoutInCell="1" allowOverlap="1" wp14:anchorId="5FB91E81" wp14:editId="5BD436B8">
                      <wp:simplePos x="0" y="0"/>
                      <wp:positionH relativeFrom="column">
                        <wp:posOffset>1276222</wp:posOffset>
                      </wp:positionH>
                      <wp:positionV relativeFrom="paragraph">
                        <wp:posOffset>140326</wp:posOffset>
                      </wp:positionV>
                      <wp:extent cx="173990" cy="186690"/>
                      <wp:effectExtent l="0" t="0" r="0" b="0"/>
                      <wp:wrapNone/>
                      <wp:docPr id="41" name="Group 41"/>
                      <wp:cNvGraphicFramePr/>
                      <a:graphic xmlns:a="http://schemas.openxmlformats.org/drawingml/2006/main">
                        <a:graphicData uri="http://schemas.microsoft.com/office/word/2010/wordprocessingGroup">
                          <wpg:wgp>
                            <wpg:cNvGrpSpPr/>
                            <wpg:grpSpPr>
                              <a:xfrm>
                                <a:off x="0" y="0"/>
                                <a:ext cx="173990" cy="186690"/>
                                <a:chOff x="0" y="0"/>
                                <a:chExt cx="173990" cy="186690"/>
                              </a:xfrm>
                            </wpg:grpSpPr>
                            <wps:wsp>
                              <wps:cNvPr id="42" name="Graphic 42"/>
                              <wps:cNvSpPr/>
                              <wps:spPr>
                                <a:xfrm>
                                  <a:off x="3175" y="3175"/>
                                  <a:ext cx="167640" cy="180340"/>
                                </a:xfrm>
                                <a:custGeom>
                                  <a:avLst/>
                                  <a:gdLst/>
                                  <a:ahLst/>
                                  <a:cxnLst/>
                                  <a:rect l="l" t="t" r="r" b="b"/>
                                  <a:pathLst>
                                    <a:path w="167640" h="180340">
                                      <a:moveTo>
                                        <a:pt x="0" y="179832"/>
                                      </a:moveTo>
                                      <a:lnTo>
                                        <a:pt x="83693" y="179832"/>
                                      </a:lnTo>
                                      <a:lnTo>
                                        <a:pt x="83693" y="0"/>
                                      </a:lnTo>
                                      <a:lnTo>
                                        <a:pt x="167258" y="0"/>
                                      </a:lnTo>
                                    </a:path>
                                  </a:pathLst>
                                </a:custGeom>
                                <a:ln w="6349">
                                  <a:solidFill>
                                    <a:srgbClr val="C4BD6D"/>
                                  </a:solidFill>
                                  <a:prstDash val="solid"/>
                                </a:ln>
                              </wps:spPr>
                              <wps:bodyPr wrap="square" lIns="0" tIns="0" rIns="0" bIns="0" rtlCol="0">
                                <a:prstTxWarp prst="textNoShape">
                                  <a:avLst/>
                                </a:prstTxWarp>
                              </wps:bodyPr>
                            </wps:wsp>
                          </wpg:wgp>
                        </a:graphicData>
                      </a:graphic>
                    </wp:anchor>
                  </w:drawing>
                </mc:Choice>
                <mc:Fallback>
                  <w:pict>
                    <v:group w14:anchorId="3902C90E" id="Group 41" o:spid="_x0000_s1026" style="position:absolute;margin-left:100.5pt;margin-top:11.05pt;width:13.7pt;height:14.7pt;z-index:251668480;mso-wrap-distance-left:0;mso-wrap-distance-right:0" coordsize="173990,186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">
                      <v:shape id="Graphic 42" o:spid="_x0000_s1027" style="position:absolute;left:3175;top:3175;width:167640;height:180340;visibility:visible;mso-wrap-style:square;v-text-anchor:top" coordsize="167640,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" path="m,179832r83693,l83693,r83565,e" filled="f" strokecolor="#c4bd6d" strokeweight=".17636mm">
                        <v:path arrowok="t"/>
                      </v:shape>
                    </v:group>
                  </w:pict>
                </mc:Fallback>
              </mc:AlternateContent>
            </w:r>
            <w:r>
              <w:rPr>
                <w:rFonts w:ascii="Calibri"/>
                <w:sz w:val="18"/>
              </w:rPr>
              <w:t>#1 Allineati alle caratteristiche E/S</w:t>
            </w:r>
          </w:p>
        </w:tc>
        <w:tc>
          <w:tcPr>
            <w:tcW w:w="4467" w:type="dxa"/>
            <w:tcBorders>
              <w:left w:val="nil"/>
              <w:bottom w:val="nil"/>
            </w:tcBorders>
          </w:tcPr>
          <w:p w14:paraId="04AF0ACF" w14:textId="77777777" w:rsidR="00C47BC8" w:rsidRDefault="00C47BC8">
            <w:pPr>
              <w:pStyle w:val="TableParagraph"/>
              <w:spacing w:before="38"/>
              <w:rPr>
                <w:b/>
              </w:rPr>
            </w:pPr>
          </w:p>
          <w:p w14:paraId="4A3E58BA" w14:textId="77777777" w:rsidR="00C47BC8" w:rsidRDefault="00606574">
            <w:pPr>
              <w:pStyle w:val="TableParagraph"/>
              <w:spacing w:line="255" w:lineRule="exact"/>
              <w:ind w:left="2937"/>
              <w:rPr>
                <w:rFonts w:ascii="Calibri"/>
              </w:rPr>
            </w:pPr>
            <w:r>
              <w:rPr>
                <w:rFonts w:ascii="Calibri"/>
                <w:noProof/>
              </w:rPr>
              <mc:AlternateContent>
                <mc:Choice Requires="wpg">
                  <w:drawing>
                    <wp:anchor distT="0" distB="0" distL="0" distR="0" simplePos="0" relativeHeight="251664384" behindDoc="0" locked="0" layoutInCell="1" allowOverlap="1" wp14:anchorId="77441458" wp14:editId="09CD7C91">
                      <wp:simplePos x="0" y="0"/>
                      <wp:positionH relativeFrom="column">
                        <wp:posOffset>1304074</wp:posOffset>
                      </wp:positionH>
                      <wp:positionV relativeFrom="paragraph">
                        <wp:posOffset>165717</wp:posOffset>
                      </wp:positionV>
                      <wp:extent cx="193040" cy="466725"/>
                      <wp:effectExtent l="0" t="0" r="0" b="0"/>
                      <wp:wrapNone/>
                      <wp:docPr id="43" name="Group 43"/>
                      <wp:cNvGraphicFramePr/>
                      <a:graphic xmlns:a="http://schemas.openxmlformats.org/drawingml/2006/main">
                        <a:graphicData uri="http://schemas.microsoft.com/office/word/2010/wordprocessingGroup">
                          <wpg:wgp>
                            <wpg:cNvGrpSpPr/>
                            <wpg:grpSpPr>
                              <a:xfrm>
                                <a:off x="0" y="0"/>
                                <a:ext cx="193040" cy="466725"/>
                                <a:chOff x="0" y="0"/>
                                <a:chExt cx="193040" cy="466725"/>
                              </a:xfrm>
                            </wpg:grpSpPr>
                            <wps:wsp>
                              <wps:cNvPr id="44" name="Graphic 44"/>
                              <wps:cNvSpPr/>
                              <wps:spPr>
                                <a:xfrm>
                                  <a:off x="4762" y="119824"/>
                                  <a:ext cx="184785" cy="343535"/>
                                </a:xfrm>
                                <a:custGeom>
                                  <a:avLst/>
                                  <a:gdLst/>
                                  <a:ahLst/>
                                  <a:cxnLst/>
                                  <a:rect l="l" t="t" r="r" b="b"/>
                                  <a:pathLst>
                                    <a:path w="184785" h="343535">
                                      <a:moveTo>
                                        <a:pt x="0" y="0"/>
                                      </a:moveTo>
                                      <a:lnTo>
                                        <a:pt x="78105" y="0"/>
                                      </a:lnTo>
                                      <a:lnTo>
                                        <a:pt x="78105" y="343535"/>
                                      </a:lnTo>
                                      <a:lnTo>
                                        <a:pt x="184658" y="343535"/>
                                      </a:lnTo>
                                    </a:path>
                                  </a:pathLst>
                                </a:custGeom>
                                <a:ln w="6350">
                                  <a:solidFill>
                                    <a:srgbClr val="165F1F"/>
                                  </a:solidFill>
                                  <a:prstDash val="solid"/>
                                </a:ln>
                              </wps:spPr>
                              <wps:bodyPr wrap="square" lIns="0" tIns="0" rIns="0" bIns="0" rtlCol="0">
                                <a:prstTxWarp prst="textNoShape">
                                  <a:avLst/>
                                </a:prstTxWarp>
                              </wps:bodyPr>
                            </wps:wsp>
                            <wps:wsp>
                              <wps:cNvPr id="45" name="Graphic 45"/>
                              <wps:cNvSpPr/>
                              <wps:spPr>
                                <a:xfrm>
                                  <a:off x="4762" y="4762"/>
                                  <a:ext cx="167640" cy="180340"/>
                                </a:xfrm>
                                <a:custGeom>
                                  <a:avLst/>
                                  <a:gdLst/>
                                  <a:ahLst/>
                                  <a:cxnLst/>
                                  <a:rect l="l" t="t" r="r" b="b"/>
                                  <a:pathLst>
                                    <a:path w="167640" h="180340">
                                      <a:moveTo>
                                        <a:pt x="0" y="0"/>
                                      </a:moveTo>
                                      <a:lnTo>
                                        <a:pt x="83566" y="0"/>
                                      </a:lnTo>
                                      <a:lnTo>
                                        <a:pt x="83566" y="179831"/>
                                      </a:lnTo>
                                      <a:lnTo>
                                        <a:pt x="167259" y="179831"/>
                                      </a:lnTo>
                                    </a:path>
                                  </a:pathLst>
                                </a:custGeom>
                                <a:ln w="9525">
                                  <a:solidFill>
                                    <a:srgbClr val="C04524"/>
                                  </a:solidFill>
                                  <a:prstDash val="solid"/>
                                </a:ln>
                              </wps:spPr>
                              <wps:bodyPr wrap="square" lIns="0" tIns="0" rIns="0" bIns="0" rtlCol="0">
                                <a:prstTxWarp prst="textNoShape">
                                  <a:avLst/>
                                </a:prstTxWarp>
                              </wps:bodyPr>
                            </wps:wsp>
                          </wpg:wgp>
                        </a:graphicData>
                      </a:graphic>
                    </wp:anchor>
                  </w:drawing>
                </mc:Choice>
                <mc:Fallback>
                  <w:pict>
                    <v:group w14:anchorId="7D6254D7" id="Group 43" o:spid="_x0000_s1026" style="position:absolute;margin-left:102.7pt;margin-top:13.05pt;width:15.2pt;height:36.75pt;z-index:251664384;mso-wrap-distance-left:0;mso-wrap-distance-right:0" coordsize="193040,466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">
                      <v:shape id="Graphic 44" o:spid="_x0000_s1027" style="position:absolute;left:4762;top:119824;width:184785;height:343535;visibility:visible;mso-wrap-style:square;v-text-anchor:top" coordsize="184785,34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" path="m,l78105,r,343535l184658,343535e" filled="f" strokecolor="#165f1f" strokeweight=".5pt">
                        <v:path arrowok="t"/>
                      </v:shape>
                      <v:shape id="Graphic 45" o:spid="_x0000_s1028" style="position:absolute;left:4762;top:4762;width:167640;height:180340;visibility:visible;mso-wrap-style:square;v-text-anchor:top" coordsize="167640,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" path="m,l83566,r,179831l167259,179831e" filled="f" strokecolor="#c04524">
                        <v:path arrowok="t"/>
                      </v:shape>
                    </v:group>
                  </w:pict>
                </mc:Fallback>
              </mc:AlternateContent>
            </w:r>
            <w:r>
              <w:rPr>
                <w:rFonts w:ascii="Calibri"/>
                <w:spacing w:val="-2"/>
                <w:sz w:val="20"/>
              </w:rPr>
              <w:t>Altro</w:t>
            </w:r>
          </w:p>
          <w:p w14:paraId="54DEB3E2" w14:textId="77777777" w:rsidR="00C47BC8" w:rsidRDefault="00606574">
            <w:pPr>
              <w:pStyle w:val="TableParagraph"/>
              <w:tabs>
                <w:tab w:val="left" w:pos="2541"/>
              </w:tabs>
              <w:spacing w:line="294" w:lineRule="exact"/>
              <w:ind w:left="642"/>
              <w:rPr>
                <w:rFonts w:ascii="Calibri"/>
                <w:position w:val="5"/>
              </w:rPr>
            </w:pPr>
            <w:r>
              <w:rPr>
                <w:rFonts w:ascii="Calibri"/>
                <w:noProof/>
                <w:position w:val="5"/>
              </w:rPr>
              <mc:AlternateContent>
                <mc:Choice Requires="wpg">
                  <w:drawing>
                    <wp:anchor distT="0" distB="0" distL="0" distR="0" simplePos="0" relativeHeight="251666432" behindDoc="0" locked="0" layoutInCell="1" allowOverlap="1" wp14:anchorId="2B307F40" wp14:editId="7E8E730B">
                      <wp:simplePos x="0" y="0"/>
                      <wp:positionH relativeFrom="column">
                        <wp:posOffset>-4787</wp:posOffset>
                      </wp:positionH>
                      <wp:positionV relativeFrom="paragraph">
                        <wp:posOffset>118805</wp:posOffset>
                      </wp:positionV>
                      <wp:extent cx="177165" cy="189865"/>
                      <wp:effectExtent l="0" t="0" r="0" b="0"/>
                      <wp:wrapNone/>
                      <wp:docPr id="46" name="Group 46"/>
                      <wp:cNvGraphicFramePr/>
                      <a:graphic xmlns:a="http://schemas.openxmlformats.org/drawingml/2006/main">
                        <a:graphicData uri="http://schemas.microsoft.com/office/word/2010/wordprocessingGroup">
                          <wpg:wgp>
                            <wpg:cNvGrpSpPr/>
                            <wpg:grpSpPr>
                              <a:xfrm>
                                <a:off x="0" y="0"/>
                                <a:ext cx="177165" cy="189865"/>
                                <a:chOff x="0" y="0"/>
                                <a:chExt cx="177165" cy="189865"/>
                              </a:xfrm>
                            </wpg:grpSpPr>
                            <wps:wsp>
                              <wps:cNvPr id="47" name="Graphic 47"/>
                              <wps:cNvSpPr/>
                              <wps:spPr>
                                <a:xfrm>
                                  <a:off x="4762" y="4762"/>
                                  <a:ext cx="167640" cy="180340"/>
                                </a:xfrm>
                                <a:custGeom>
                                  <a:avLst/>
                                  <a:gdLst/>
                                  <a:ahLst/>
                                  <a:cxnLst/>
                                  <a:rect l="l" t="t" r="r" b="b"/>
                                  <a:pathLst>
                                    <a:path w="167640" h="180340">
                                      <a:moveTo>
                                        <a:pt x="0" y="179831"/>
                                      </a:moveTo>
                                      <a:lnTo>
                                        <a:pt x="83693" y="179831"/>
                                      </a:lnTo>
                                      <a:lnTo>
                                        <a:pt x="83693" y="0"/>
                                      </a:lnTo>
                                      <a:lnTo>
                                        <a:pt x="167386" y="0"/>
                                      </a:lnTo>
                                    </a:path>
                                  </a:pathLst>
                                </a:custGeom>
                                <a:ln w="9525">
                                  <a:solidFill>
                                    <a:srgbClr val="C04524"/>
                                  </a:solidFill>
                                  <a:prstDash val="solid"/>
                                </a:ln>
                              </wps:spPr>
                              <wps:bodyPr wrap="square" lIns="0" tIns="0" rIns="0" bIns="0" rtlCol="0">
                                <a:prstTxWarp prst="textNoShape">
                                  <a:avLst/>
                                </a:prstTxWarp>
                              </wps:bodyPr>
                            </wps:wsp>
                          </wpg:wgp>
                        </a:graphicData>
                      </a:graphic>
                    </wp:anchor>
                  </w:drawing>
                </mc:Choice>
                <mc:Fallback>
                  <w:pict>
                    <v:group w14:anchorId="7ECCC4CF" id="Group 46" o:spid="_x0000_s1026" style="position:absolute;margin-left:-.4pt;margin-top:9.35pt;width:13.95pt;height:14.95pt;z-index:251666432;mso-wrap-distance-left:0;mso-wrap-distance-right:0" coordsize="1771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">
                      <v:shape id="Graphic 47" o:spid="_x0000_s1027" style="position:absolute;left:4762;top:4762;width:167640;height:180340;visibility:visible;mso-wrap-style:square;v-text-anchor:top" coordsize="167640,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" path="m,179831r83693,l83693,r83693,e" filled="f" strokecolor="#c04524">
                        <v:path arrowok="t"/>
                      </v:shape>
                    </v:group>
                  </w:pict>
                </mc:Fallback>
              </mc:AlternateContent>
            </w:r>
            <w:r>
              <w:rPr>
                <w:rFonts w:ascii="Calibri"/>
                <w:color w:val="FFFFFF"/>
                <w:spacing w:val="-2"/>
                <w:sz w:val="16"/>
              </w:rPr>
              <w:t>#1A Sostenibile</w:t>
            </w:r>
            <w:r>
              <w:rPr>
                <w:rFonts w:ascii="Calibri"/>
                <w:color w:val="FFFFFF"/>
                <w:sz w:val="16"/>
              </w:rPr>
              <w:tab/>
            </w:r>
            <w:r>
              <w:rPr>
                <w:rFonts w:ascii="Calibri"/>
                <w:spacing w:val="-2"/>
                <w:position w:val="5"/>
                <w:sz w:val="20"/>
              </w:rPr>
              <w:t>ambientali</w:t>
            </w:r>
          </w:p>
          <w:p w14:paraId="7EA7B68C" w14:textId="77777777" w:rsidR="00C47BC8" w:rsidRDefault="00C47BC8">
            <w:pPr>
              <w:pStyle w:val="TableParagraph"/>
              <w:spacing w:before="85"/>
              <w:rPr>
                <w:b/>
                <w:sz w:val="18"/>
              </w:rPr>
            </w:pPr>
          </w:p>
          <w:p w14:paraId="031303B6" w14:textId="77777777" w:rsidR="00C47BC8" w:rsidRDefault="00606574">
            <w:pPr>
              <w:pStyle w:val="TableParagraph"/>
              <w:ind w:left="2903"/>
              <w:rPr>
                <w:rFonts w:ascii="Calibri"/>
              </w:rPr>
            </w:pPr>
            <w:r>
              <w:rPr>
                <w:rFonts w:ascii="Calibri"/>
                <w:spacing w:val="-2"/>
                <w:w w:val="115"/>
                <w:sz w:val="20"/>
              </w:rPr>
              <w:t>Sociale</w:t>
            </w:r>
          </w:p>
          <w:p w14:paraId="0B82117F" w14:textId="77777777" w:rsidR="00C47BC8" w:rsidRDefault="00C47BC8">
            <w:pPr>
              <w:pStyle w:val="TableParagraph"/>
              <w:spacing w:before="41"/>
              <w:rPr>
                <w:b/>
              </w:rPr>
            </w:pPr>
          </w:p>
          <w:p w14:paraId="17E5E758" w14:textId="77777777" w:rsidR="00C47BC8" w:rsidRDefault="00606574">
            <w:pPr>
              <w:pStyle w:val="TableParagraph"/>
              <w:ind w:left="803"/>
              <w:rPr>
                <w:rFonts w:ascii="Calibri"/>
                <w:sz w:val="18"/>
              </w:rPr>
            </w:pPr>
            <w:r>
              <w:rPr>
                <w:rFonts w:ascii="Calibri"/>
                <w:noProof/>
                <w:sz w:val="18"/>
              </w:rPr>
              <mc:AlternateContent>
                <mc:Choice Requires="wpg">
                  <w:drawing>
                    <wp:anchor distT="0" distB="0" distL="0" distR="0" simplePos="0" relativeHeight="251662336" behindDoc="0" locked="0" layoutInCell="1" allowOverlap="1" wp14:anchorId="39E06110" wp14:editId="6FF86439">
                      <wp:simplePos x="0" y="0"/>
                      <wp:positionH relativeFrom="column">
                        <wp:posOffset>-4787</wp:posOffset>
                      </wp:positionH>
                      <wp:positionV relativeFrom="paragraph">
                        <wp:posOffset>-78049</wp:posOffset>
                      </wp:positionV>
                      <wp:extent cx="177165" cy="189865"/>
                      <wp:effectExtent l="0" t="0" r="0" b="0"/>
                      <wp:wrapNone/>
                      <wp:docPr id="48" name="Group 48"/>
                      <wp:cNvGraphicFramePr/>
                      <a:graphic xmlns:a="http://schemas.openxmlformats.org/drawingml/2006/main">
                        <a:graphicData uri="http://schemas.microsoft.com/office/word/2010/wordprocessingGroup">
                          <wpg:wgp>
                            <wpg:cNvGrpSpPr/>
                            <wpg:grpSpPr>
                              <a:xfrm>
                                <a:off x="0" y="0"/>
                                <a:ext cx="177165" cy="189865"/>
                                <a:chOff x="0" y="0"/>
                                <a:chExt cx="177165" cy="189865"/>
                              </a:xfrm>
                            </wpg:grpSpPr>
                            <wps:wsp>
                              <wps:cNvPr id="49" name="Graphic 49"/>
                              <wps:cNvSpPr/>
                              <wps:spPr>
                                <a:xfrm>
                                  <a:off x="4762" y="4762"/>
                                  <a:ext cx="167640" cy="180340"/>
                                </a:xfrm>
                                <a:custGeom>
                                  <a:avLst/>
                                  <a:gdLst/>
                                  <a:ahLst/>
                                  <a:cxnLst/>
                                  <a:rect l="l" t="t" r="r" b="b"/>
                                  <a:pathLst>
                                    <a:path w="167640" h="180340">
                                      <a:moveTo>
                                        <a:pt x="0" y="0"/>
                                      </a:moveTo>
                                      <a:lnTo>
                                        <a:pt x="83693" y="0"/>
                                      </a:lnTo>
                                      <a:lnTo>
                                        <a:pt x="83693" y="179832"/>
                                      </a:lnTo>
                                      <a:lnTo>
                                        <a:pt x="167386" y="179832"/>
                                      </a:lnTo>
                                    </a:path>
                                  </a:pathLst>
                                </a:custGeom>
                                <a:ln w="9525">
                                  <a:solidFill>
                                    <a:srgbClr val="C04524"/>
                                  </a:solidFill>
                                  <a:prstDash val="solid"/>
                                </a:ln>
                              </wps:spPr>
                              <wps:bodyPr wrap="square" lIns="0" tIns="0" rIns="0" bIns="0" rtlCol="0">
                                <a:prstTxWarp prst="textNoShape">
                                  <a:avLst/>
                                </a:prstTxWarp>
                              </wps:bodyPr>
                            </wps:wsp>
                          </wpg:wgp>
                        </a:graphicData>
                      </a:graphic>
                    </wp:anchor>
                  </w:drawing>
                </mc:Choice>
                <mc:Fallback>
                  <w:pict>
                    <v:group w14:anchorId="238C7C6A" id="Group 48" o:spid="_x0000_s1026" style="position:absolute;margin-left:-.4pt;margin-top:-6.15pt;width:13.95pt;height:14.95pt;z-index:251662336;mso-wrap-distance-left:0;mso-wrap-distance-right:0" coordsize="1771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">
                      <v:shape id="Graphic 49" o:spid="_x0000_s1027" style="position:absolute;left:4762;top:4762;width:167640;height:180340;visibility:visible;mso-wrap-style:square;v-text-anchor:top" coordsize="167640,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" path="m,l83693,r,179832l167386,179832e" filled="f" strokecolor="#c04524">
                        <v:path arrowok="t"/>
                      </v:shape>
                    </v:group>
                  </w:pict>
                </mc:Fallback>
              </mc:AlternateContent>
            </w:r>
            <w:r>
              <w:rPr>
                <w:rFonts w:ascii="Calibri"/>
                <w:sz w:val="16"/>
              </w:rPr>
              <w:t>#1B Altre caratteristiche ambientali e sociali</w:t>
            </w:r>
          </w:p>
        </w:tc>
      </w:tr>
      <w:tr w:rsidR="00C47BC8" w14:paraId="5C7CDF09" w14:textId="77777777">
        <w:trPr>
          <w:trHeight w:val="263"/>
        </w:trPr>
        <w:tc>
          <w:tcPr>
            <w:tcW w:w="2440" w:type="dxa"/>
            <w:vMerge/>
            <w:tcBorders>
              <w:top w:val="nil"/>
              <w:bottom w:val="nil"/>
            </w:tcBorders>
            <w:shd w:val="clear" w:color="auto" w:fill="D9D9D9"/>
          </w:tcPr>
          <w:p w14:paraId="24FC2D54" w14:textId="77777777" w:rsidR="00C47BC8" w:rsidRDefault="00C47BC8">
            <w:pPr>
              <w:rPr>
                <w:sz w:val="2"/>
                <w:szCs w:val="2"/>
              </w:rPr>
            </w:pPr>
          </w:p>
        </w:tc>
        <w:tc>
          <w:tcPr>
            <w:tcW w:w="408" w:type="dxa"/>
            <w:vMerge/>
            <w:tcBorders>
              <w:top w:val="nil"/>
            </w:tcBorders>
          </w:tcPr>
          <w:p w14:paraId="7963A65C" w14:textId="77777777" w:rsidR="00C47BC8" w:rsidRDefault="00C47BC8">
            <w:pPr>
              <w:rPr>
                <w:sz w:val="2"/>
                <w:szCs w:val="2"/>
              </w:rPr>
            </w:pPr>
          </w:p>
        </w:tc>
        <w:tc>
          <w:tcPr>
            <w:tcW w:w="2015" w:type="dxa"/>
            <w:tcBorders>
              <w:top w:val="nil"/>
              <w:bottom w:val="nil"/>
              <w:right w:val="nil"/>
            </w:tcBorders>
          </w:tcPr>
          <w:p w14:paraId="7EF2161F" w14:textId="77777777" w:rsidR="00C47BC8" w:rsidRDefault="00C47BC8">
            <w:pPr>
              <w:pStyle w:val="TableParagraph"/>
              <w:rPr>
                <w:rFonts w:ascii="Times New Roman"/>
                <w:sz w:val="18"/>
              </w:rPr>
            </w:pPr>
          </w:p>
        </w:tc>
        <w:tc>
          <w:tcPr>
            <w:tcW w:w="168" w:type="dxa"/>
            <w:tcBorders>
              <w:top w:val="single" w:sz="4" w:space="0" w:color="12531A"/>
              <w:left w:val="nil"/>
              <w:bottom w:val="nil"/>
              <w:right w:val="single" w:sz="4" w:space="0" w:color="12531A"/>
            </w:tcBorders>
            <w:shd w:val="clear" w:color="auto" w:fill="F9E1D4"/>
          </w:tcPr>
          <w:p w14:paraId="2847A976" w14:textId="77777777" w:rsidR="00C47BC8" w:rsidRDefault="00C47BC8">
            <w:pPr>
              <w:pStyle w:val="TableParagraph"/>
              <w:rPr>
                <w:rFonts w:ascii="Times New Roman"/>
                <w:sz w:val="18"/>
              </w:rPr>
            </w:pPr>
          </w:p>
        </w:tc>
        <w:tc>
          <w:tcPr>
            <w:tcW w:w="168" w:type="dxa"/>
            <w:vMerge w:val="restart"/>
            <w:tcBorders>
              <w:top w:val="nil"/>
              <w:left w:val="single" w:sz="4" w:space="0" w:color="12531A"/>
              <w:bottom w:val="single" w:sz="4" w:space="0" w:color="12531A"/>
              <w:right w:val="nil"/>
            </w:tcBorders>
            <w:shd w:val="clear" w:color="auto" w:fill="F9E1D4"/>
          </w:tcPr>
          <w:p w14:paraId="603CD3A1" w14:textId="77777777" w:rsidR="00C47BC8" w:rsidRDefault="00C47BC8">
            <w:pPr>
              <w:pStyle w:val="TableParagraph"/>
              <w:rPr>
                <w:rFonts w:ascii="Times New Roman"/>
                <w:sz w:val="18"/>
              </w:rPr>
            </w:pPr>
          </w:p>
        </w:tc>
        <w:tc>
          <w:tcPr>
            <w:tcW w:w="6147" w:type="dxa"/>
            <w:gridSpan w:val="2"/>
            <w:tcBorders>
              <w:top w:val="nil"/>
              <w:left w:val="nil"/>
              <w:bottom w:val="nil"/>
            </w:tcBorders>
            <w:shd w:val="clear" w:color="auto" w:fill="F9E1D4"/>
          </w:tcPr>
          <w:p w14:paraId="188FB76F" w14:textId="77777777" w:rsidR="00C47BC8" w:rsidRDefault="00606574">
            <w:pPr>
              <w:pStyle w:val="TableParagraph"/>
              <w:spacing w:line="166" w:lineRule="exact"/>
              <w:ind w:right="145"/>
              <w:jc w:val="center"/>
              <w:rPr>
                <w:rFonts w:ascii="Calibri"/>
                <w:sz w:val="18"/>
              </w:rPr>
            </w:pPr>
            <w:r>
              <w:rPr>
                <w:rFonts w:ascii="Calibri"/>
                <w:spacing w:val="-2"/>
                <w:sz w:val="16"/>
              </w:rPr>
              <w:t>caratteristiche</w:t>
            </w:r>
          </w:p>
        </w:tc>
      </w:tr>
      <w:tr w:rsidR="00C47BC8" w14:paraId="65BEE89C" w14:textId="77777777">
        <w:trPr>
          <w:trHeight w:val="246"/>
        </w:trPr>
        <w:tc>
          <w:tcPr>
            <w:tcW w:w="2440" w:type="dxa"/>
            <w:vMerge/>
            <w:tcBorders>
              <w:top w:val="nil"/>
              <w:bottom w:val="nil"/>
            </w:tcBorders>
            <w:shd w:val="clear" w:color="auto" w:fill="D9D9D9"/>
          </w:tcPr>
          <w:p w14:paraId="3D854193" w14:textId="77777777" w:rsidR="00C47BC8" w:rsidRDefault="00C47BC8">
            <w:pPr>
              <w:rPr>
                <w:sz w:val="2"/>
                <w:szCs w:val="2"/>
              </w:rPr>
            </w:pPr>
          </w:p>
        </w:tc>
        <w:tc>
          <w:tcPr>
            <w:tcW w:w="408" w:type="dxa"/>
            <w:vMerge/>
            <w:tcBorders>
              <w:top w:val="nil"/>
            </w:tcBorders>
          </w:tcPr>
          <w:p w14:paraId="3C316E0F" w14:textId="77777777" w:rsidR="00C47BC8" w:rsidRDefault="00C47BC8">
            <w:pPr>
              <w:rPr>
                <w:sz w:val="2"/>
                <w:szCs w:val="2"/>
              </w:rPr>
            </w:pPr>
          </w:p>
        </w:tc>
        <w:tc>
          <w:tcPr>
            <w:tcW w:w="2183" w:type="dxa"/>
            <w:gridSpan w:val="2"/>
            <w:tcBorders>
              <w:top w:val="nil"/>
              <w:bottom w:val="nil"/>
              <w:right w:val="single" w:sz="4" w:space="0" w:color="12531A"/>
            </w:tcBorders>
            <w:shd w:val="clear" w:color="auto" w:fill="F9E1D4"/>
          </w:tcPr>
          <w:p w14:paraId="4F57FE21" w14:textId="77777777" w:rsidR="00C47BC8" w:rsidRDefault="00C47BC8">
            <w:pPr>
              <w:pStyle w:val="TableParagraph"/>
              <w:rPr>
                <w:rFonts w:ascii="Times New Roman"/>
                <w:sz w:val="16"/>
              </w:rPr>
            </w:pPr>
          </w:p>
        </w:tc>
        <w:tc>
          <w:tcPr>
            <w:tcW w:w="168" w:type="dxa"/>
            <w:vMerge/>
            <w:tcBorders>
              <w:top w:val="nil"/>
              <w:left w:val="single" w:sz="4" w:space="0" w:color="12531A"/>
              <w:bottom w:val="single" w:sz="4" w:space="0" w:color="12531A"/>
              <w:right w:val="nil"/>
            </w:tcBorders>
            <w:shd w:val="clear" w:color="auto" w:fill="F9E1D4"/>
          </w:tcPr>
          <w:p w14:paraId="7DBD192B" w14:textId="77777777" w:rsidR="00C47BC8" w:rsidRDefault="00C47BC8">
            <w:pPr>
              <w:rPr>
                <w:sz w:val="2"/>
                <w:szCs w:val="2"/>
              </w:rPr>
            </w:pPr>
          </w:p>
        </w:tc>
        <w:tc>
          <w:tcPr>
            <w:tcW w:w="1680" w:type="dxa"/>
            <w:vMerge w:val="restart"/>
            <w:tcBorders>
              <w:top w:val="nil"/>
              <w:left w:val="nil"/>
              <w:bottom w:val="nil"/>
              <w:right w:val="nil"/>
            </w:tcBorders>
          </w:tcPr>
          <w:p w14:paraId="5A7B7703" w14:textId="77777777" w:rsidR="00C47BC8" w:rsidRDefault="00606574">
            <w:pPr>
              <w:pStyle w:val="TableParagraph"/>
              <w:spacing w:before="131"/>
              <w:ind w:left="520"/>
              <w:rPr>
                <w:rFonts w:ascii="Calibri"/>
                <w:sz w:val="18"/>
              </w:rPr>
            </w:pPr>
            <w:r>
              <w:rPr>
                <w:rFonts w:ascii="Calibri"/>
                <w:spacing w:val="-2"/>
                <w:sz w:val="16"/>
              </w:rPr>
              <w:t>#2 Altre</w:t>
            </w:r>
          </w:p>
        </w:tc>
        <w:tc>
          <w:tcPr>
            <w:tcW w:w="4467" w:type="dxa"/>
            <w:vMerge w:val="restart"/>
            <w:tcBorders>
              <w:top w:val="nil"/>
              <w:left w:val="nil"/>
              <w:bottom w:val="nil"/>
            </w:tcBorders>
            <w:shd w:val="clear" w:color="auto" w:fill="F9E1D4"/>
          </w:tcPr>
          <w:p w14:paraId="4D91999D" w14:textId="77777777" w:rsidR="00C47BC8" w:rsidRDefault="00C47BC8">
            <w:pPr>
              <w:pStyle w:val="TableParagraph"/>
              <w:rPr>
                <w:rFonts w:ascii="Times New Roman"/>
                <w:sz w:val="18"/>
              </w:rPr>
            </w:pPr>
          </w:p>
        </w:tc>
      </w:tr>
      <w:tr w:rsidR="00C47BC8" w14:paraId="4D3D8415" w14:textId="77777777">
        <w:trPr>
          <w:trHeight w:val="246"/>
        </w:trPr>
        <w:tc>
          <w:tcPr>
            <w:tcW w:w="2440" w:type="dxa"/>
            <w:vMerge/>
            <w:tcBorders>
              <w:top w:val="nil"/>
              <w:bottom w:val="nil"/>
            </w:tcBorders>
            <w:shd w:val="clear" w:color="auto" w:fill="D9D9D9"/>
          </w:tcPr>
          <w:p w14:paraId="67EE9AEF" w14:textId="77777777" w:rsidR="00C47BC8" w:rsidRDefault="00C47BC8">
            <w:pPr>
              <w:rPr>
                <w:sz w:val="2"/>
                <w:szCs w:val="2"/>
              </w:rPr>
            </w:pPr>
          </w:p>
        </w:tc>
        <w:tc>
          <w:tcPr>
            <w:tcW w:w="408" w:type="dxa"/>
            <w:vMerge/>
            <w:tcBorders>
              <w:top w:val="nil"/>
            </w:tcBorders>
          </w:tcPr>
          <w:p w14:paraId="47BAC31A" w14:textId="77777777" w:rsidR="00C47BC8" w:rsidRDefault="00C47BC8">
            <w:pPr>
              <w:rPr>
                <w:sz w:val="2"/>
                <w:szCs w:val="2"/>
              </w:rPr>
            </w:pPr>
          </w:p>
        </w:tc>
        <w:tc>
          <w:tcPr>
            <w:tcW w:w="2015" w:type="dxa"/>
            <w:tcBorders>
              <w:top w:val="nil"/>
              <w:bottom w:val="nil"/>
              <w:right w:val="nil"/>
            </w:tcBorders>
            <w:shd w:val="clear" w:color="auto" w:fill="F9E1D4"/>
          </w:tcPr>
          <w:p w14:paraId="62DB9515" w14:textId="77777777" w:rsidR="00C47BC8" w:rsidRDefault="00C47BC8">
            <w:pPr>
              <w:pStyle w:val="TableParagraph"/>
              <w:rPr>
                <w:rFonts w:ascii="Times New Roman"/>
                <w:sz w:val="16"/>
              </w:rPr>
            </w:pPr>
          </w:p>
        </w:tc>
        <w:tc>
          <w:tcPr>
            <w:tcW w:w="168" w:type="dxa"/>
            <w:tcBorders>
              <w:top w:val="nil"/>
              <w:left w:val="nil"/>
              <w:bottom w:val="nil"/>
              <w:right w:val="nil"/>
            </w:tcBorders>
            <w:shd w:val="clear" w:color="auto" w:fill="F9E1D4"/>
          </w:tcPr>
          <w:p w14:paraId="1CF34243" w14:textId="77777777" w:rsidR="00C47BC8" w:rsidRDefault="00C47BC8">
            <w:pPr>
              <w:pStyle w:val="TableParagraph"/>
              <w:rPr>
                <w:rFonts w:ascii="Times New Roman"/>
                <w:sz w:val="16"/>
              </w:rPr>
            </w:pPr>
          </w:p>
        </w:tc>
        <w:tc>
          <w:tcPr>
            <w:tcW w:w="168" w:type="dxa"/>
            <w:tcBorders>
              <w:top w:val="single" w:sz="4" w:space="0" w:color="12531A"/>
              <w:left w:val="nil"/>
              <w:bottom w:val="nil"/>
              <w:right w:val="nil"/>
            </w:tcBorders>
            <w:shd w:val="clear" w:color="auto" w:fill="F9E1D4"/>
          </w:tcPr>
          <w:p w14:paraId="3B41D2F1" w14:textId="77777777" w:rsidR="00C47BC8" w:rsidRDefault="00C47BC8">
            <w:pPr>
              <w:pStyle w:val="TableParagraph"/>
              <w:rPr>
                <w:rFonts w:ascii="Times New Roman"/>
                <w:sz w:val="16"/>
              </w:rPr>
            </w:pPr>
          </w:p>
        </w:tc>
        <w:tc>
          <w:tcPr>
            <w:tcW w:w="1680" w:type="dxa"/>
            <w:vMerge/>
            <w:tcBorders>
              <w:top w:val="nil"/>
              <w:left w:val="nil"/>
              <w:bottom w:val="nil"/>
              <w:right w:val="nil"/>
            </w:tcBorders>
          </w:tcPr>
          <w:p w14:paraId="67462FC8" w14:textId="77777777" w:rsidR="00C47BC8" w:rsidRDefault="00C47BC8">
            <w:pPr>
              <w:rPr>
                <w:sz w:val="2"/>
                <w:szCs w:val="2"/>
              </w:rPr>
            </w:pPr>
          </w:p>
        </w:tc>
        <w:tc>
          <w:tcPr>
            <w:tcW w:w="4467" w:type="dxa"/>
            <w:vMerge/>
            <w:tcBorders>
              <w:top w:val="nil"/>
              <w:left w:val="nil"/>
              <w:bottom w:val="nil"/>
            </w:tcBorders>
            <w:shd w:val="clear" w:color="auto" w:fill="F9E1D4"/>
          </w:tcPr>
          <w:p w14:paraId="0AA3E965" w14:textId="77777777" w:rsidR="00C47BC8" w:rsidRDefault="00C47BC8">
            <w:pPr>
              <w:rPr>
                <w:sz w:val="2"/>
                <w:szCs w:val="2"/>
              </w:rPr>
            </w:pPr>
          </w:p>
        </w:tc>
      </w:tr>
      <w:tr w:rsidR="00C47BC8" w14:paraId="03B846B8" w14:textId="77777777">
        <w:trPr>
          <w:trHeight w:val="298"/>
        </w:trPr>
        <w:tc>
          <w:tcPr>
            <w:tcW w:w="2440" w:type="dxa"/>
            <w:vMerge/>
            <w:tcBorders>
              <w:top w:val="nil"/>
              <w:bottom w:val="nil"/>
            </w:tcBorders>
            <w:shd w:val="clear" w:color="auto" w:fill="D9D9D9"/>
          </w:tcPr>
          <w:p w14:paraId="4C0102E7" w14:textId="77777777" w:rsidR="00C47BC8" w:rsidRDefault="00C47BC8">
            <w:pPr>
              <w:rPr>
                <w:sz w:val="2"/>
                <w:szCs w:val="2"/>
              </w:rPr>
            </w:pPr>
          </w:p>
        </w:tc>
        <w:tc>
          <w:tcPr>
            <w:tcW w:w="408" w:type="dxa"/>
            <w:vMerge/>
            <w:tcBorders>
              <w:top w:val="nil"/>
            </w:tcBorders>
          </w:tcPr>
          <w:p w14:paraId="5DD9399F" w14:textId="77777777" w:rsidR="00C47BC8" w:rsidRDefault="00C47BC8">
            <w:pPr>
              <w:rPr>
                <w:sz w:val="2"/>
                <w:szCs w:val="2"/>
              </w:rPr>
            </w:pPr>
          </w:p>
        </w:tc>
        <w:tc>
          <w:tcPr>
            <w:tcW w:w="8498" w:type="dxa"/>
            <w:gridSpan w:val="5"/>
            <w:tcBorders>
              <w:top w:val="nil"/>
            </w:tcBorders>
            <w:shd w:val="clear" w:color="auto" w:fill="F9E1D4"/>
          </w:tcPr>
          <w:p w14:paraId="71848391" w14:textId="77777777" w:rsidR="00C47BC8" w:rsidRDefault="00C47BC8">
            <w:pPr>
              <w:pStyle w:val="TableParagraph"/>
              <w:rPr>
                <w:rFonts w:ascii="Times New Roman"/>
                <w:sz w:val="18"/>
              </w:rPr>
            </w:pPr>
          </w:p>
        </w:tc>
      </w:tr>
      <w:tr w:rsidR="00C47BC8" w14:paraId="47F2B04C" w14:textId="77777777">
        <w:trPr>
          <w:trHeight w:val="2750"/>
        </w:trPr>
        <w:tc>
          <w:tcPr>
            <w:tcW w:w="2440" w:type="dxa"/>
            <w:vMerge/>
            <w:tcBorders>
              <w:top w:val="nil"/>
              <w:bottom w:val="nil"/>
            </w:tcBorders>
            <w:shd w:val="clear" w:color="auto" w:fill="D9D9D9"/>
          </w:tcPr>
          <w:p w14:paraId="4F7DA9D4" w14:textId="77777777" w:rsidR="00C47BC8" w:rsidRDefault="00C47BC8">
            <w:pPr>
              <w:rPr>
                <w:sz w:val="2"/>
                <w:szCs w:val="2"/>
              </w:rPr>
            </w:pPr>
          </w:p>
        </w:tc>
        <w:tc>
          <w:tcPr>
            <w:tcW w:w="408" w:type="dxa"/>
          </w:tcPr>
          <w:p w14:paraId="22E91192" w14:textId="77777777" w:rsidR="00C47BC8" w:rsidRDefault="00C47BC8">
            <w:pPr>
              <w:pStyle w:val="TableParagraph"/>
              <w:rPr>
                <w:rFonts w:ascii="Times New Roman"/>
                <w:sz w:val="18"/>
              </w:rPr>
            </w:pPr>
          </w:p>
        </w:tc>
        <w:tc>
          <w:tcPr>
            <w:tcW w:w="8498" w:type="dxa"/>
            <w:gridSpan w:val="5"/>
            <w:shd w:val="clear" w:color="auto" w:fill="F9E1D4"/>
          </w:tcPr>
          <w:p w14:paraId="6253C290" w14:textId="77777777" w:rsidR="00C47BC8" w:rsidRDefault="00606574">
            <w:pPr>
              <w:pStyle w:val="TableParagraph"/>
              <w:spacing w:before="62"/>
              <w:ind w:left="107" w:right="512"/>
              <w:rPr>
                <w:sz w:val="18"/>
              </w:rPr>
            </w:pPr>
            <w:r>
              <w:rPr>
                <w:b/>
                <w:sz w:val="16"/>
              </w:rPr>
              <w:t xml:space="preserve">#1 "In linea con le caratteristiche ambientali/sociali" </w:t>
            </w:r>
            <w:r>
              <w:rPr>
                <w:sz w:val="16"/>
              </w:rPr>
              <w:t>include gli investimenti del prodotto finanziario utilizzati per raggiungere le caratteristiche ambientali o sociali promosse dal prodotto finanziario.</w:t>
            </w:r>
          </w:p>
          <w:p w14:paraId="425BF4D1" w14:textId="77777777" w:rsidR="00C47BC8" w:rsidRDefault="00606574">
            <w:pPr>
              <w:pStyle w:val="TableParagraph"/>
              <w:spacing w:before="96"/>
              <w:ind w:left="107" w:right="512"/>
              <w:rPr>
                <w:sz w:val="18"/>
              </w:rPr>
            </w:pPr>
            <w:r>
              <w:rPr>
                <w:b/>
                <w:sz w:val="16"/>
              </w:rPr>
              <w:t xml:space="preserve">#2 Altro </w:t>
            </w:r>
            <w:r>
              <w:rPr>
                <w:sz w:val="16"/>
              </w:rPr>
              <w:t>include i restanti investimenti del prodotto finanziario che non sono né allineati alle caratteristiche ambientali o sociali, né qualificati come investimenti sostenibili.</w:t>
            </w:r>
          </w:p>
          <w:p w14:paraId="5CCBBBFB" w14:textId="77777777" w:rsidR="00C47BC8" w:rsidRDefault="00C47BC8">
            <w:pPr>
              <w:pStyle w:val="TableParagraph"/>
              <w:spacing w:before="88"/>
              <w:rPr>
                <w:b/>
                <w:sz w:val="18"/>
              </w:rPr>
            </w:pPr>
          </w:p>
          <w:p w14:paraId="0EF78605" w14:textId="77777777" w:rsidR="00C47BC8" w:rsidRDefault="00606574">
            <w:pPr>
              <w:pStyle w:val="TableParagraph"/>
              <w:spacing w:before="1"/>
              <w:ind w:left="107"/>
              <w:rPr>
                <w:sz w:val="18"/>
              </w:rPr>
            </w:pPr>
            <w:r>
              <w:rPr>
                <w:sz w:val="16"/>
              </w:rPr>
              <w:t xml:space="preserve">La categoria </w:t>
            </w:r>
            <w:r>
              <w:rPr>
                <w:b/>
                <w:sz w:val="16"/>
              </w:rPr>
              <w:t>#1 "In linea con le caratteristiche E/S</w:t>
            </w:r>
            <w:r>
              <w:rPr>
                <w:spacing w:val="-2"/>
                <w:sz w:val="16"/>
              </w:rPr>
              <w:t>" comprende:</w:t>
            </w:r>
          </w:p>
          <w:p w14:paraId="48DD2EA1" w14:textId="77777777" w:rsidR="00C47BC8" w:rsidRDefault="00606574">
            <w:pPr>
              <w:pStyle w:val="TableParagraph"/>
              <w:tabs>
                <w:tab w:val="left" w:pos="467"/>
              </w:tabs>
              <w:spacing w:before="205" w:line="220" w:lineRule="auto"/>
              <w:ind w:left="467" w:right="1081" w:hanging="360"/>
              <w:rPr>
                <w:sz w:val="18"/>
              </w:rPr>
            </w:pPr>
            <w:r>
              <w:rPr>
                <w:rFonts w:ascii="Calibri" w:hAnsi="Calibri"/>
                <w:spacing w:val="-10"/>
                <w:sz w:val="16"/>
              </w:rPr>
              <w:t>−</w:t>
            </w:r>
            <w:r>
              <w:rPr>
                <w:rFonts w:ascii="Calibri" w:hAnsi="Calibri"/>
                <w:sz w:val="16"/>
              </w:rPr>
              <w:tab/>
            </w:r>
            <w:r>
              <w:rPr>
                <w:sz w:val="16"/>
              </w:rPr>
              <w:t xml:space="preserve">La sottocategoria </w:t>
            </w:r>
            <w:r>
              <w:rPr>
                <w:b/>
                <w:sz w:val="16"/>
              </w:rPr>
              <w:t xml:space="preserve">#1A Sostenibile </w:t>
            </w:r>
            <w:r>
              <w:rPr>
                <w:sz w:val="16"/>
              </w:rPr>
              <w:t>comprende gli investimenti sostenibili con obiettivi ambientali o sociali.</w:t>
            </w:r>
          </w:p>
          <w:p w14:paraId="6852B4E5" w14:textId="77777777" w:rsidR="00C47BC8" w:rsidRDefault="00606574">
            <w:pPr>
              <w:pStyle w:val="TableParagraph"/>
              <w:tabs>
                <w:tab w:val="left" w:pos="467"/>
              </w:tabs>
              <w:spacing w:before="22" w:line="230" w:lineRule="auto"/>
              <w:ind w:left="467" w:right="1168" w:hanging="360"/>
              <w:rPr>
                <w:sz w:val="18"/>
              </w:rPr>
            </w:pPr>
            <w:r>
              <w:rPr>
                <w:rFonts w:ascii="Calibri" w:hAnsi="Calibri"/>
                <w:spacing w:val="-10"/>
                <w:sz w:val="16"/>
              </w:rPr>
              <w:t>−</w:t>
            </w:r>
            <w:r>
              <w:rPr>
                <w:rFonts w:ascii="Calibri" w:hAnsi="Calibri"/>
                <w:sz w:val="16"/>
              </w:rPr>
              <w:tab/>
            </w:r>
            <w:r>
              <w:rPr>
                <w:sz w:val="16"/>
              </w:rPr>
              <w:t xml:space="preserve">La sottocategoria </w:t>
            </w:r>
            <w:r>
              <w:rPr>
                <w:b/>
                <w:sz w:val="16"/>
              </w:rPr>
              <w:t xml:space="preserve">#1B "Altre caratteristiche ambientali/sociali" </w:t>
            </w:r>
            <w:r>
              <w:rPr>
                <w:sz w:val="16"/>
              </w:rPr>
              <w:t>comprende gli investimenti allineati alle caratteristiche ambientali o sociali che non si qualificano come investimenti sostenibili.</w:t>
            </w:r>
          </w:p>
        </w:tc>
      </w:tr>
      <w:tr w:rsidR="00C47BC8" w14:paraId="18DCD411" w14:textId="77777777">
        <w:trPr>
          <w:trHeight w:val="230"/>
        </w:trPr>
        <w:tc>
          <w:tcPr>
            <w:tcW w:w="2440" w:type="dxa"/>
            <w:vMerge/>
            <w:tcBorders>
              <w:top w:val="nil"/>
              <w:bottom w:val="nil"/>
            </w:tcBorders>
            <w:shd w:val="clear" w:color="auto" w:fill="D9D9D9"/>
          </w:tcPr>
          <w:p w14:paraId="44623E28" w14:textId="77777777" w:rsidR="00C47BC8" w:rsidRDefault="00C47BC8">
            <w:pPr>
              <w:rPr>
                <w:sz w:val="2"/>
                <w:szCs w:val="2"/>
              </w:rPr>
            </w:pPr>
          </w:p>
        </w:tc>
        <w:tc>
          <w:tcPr>
            <w:tcW w:w="408" w:type="dxa"/>
          </w:tcPr>
          <w:p w14:paraId="07F7699D" w14:textId="77777777" w:rsidR="00C47BC8" w:rsidRDefault="00C47BC8">
            <w:pPr>
              <w:pStyle w:val="TableParagraph"/>
              <w:rPr>
                <w:rFonts w:ascii="Times New Roman"/>
                <w:sz w:val="16"/>
              </w:rPr>
            </w:pPr>
          </w:p>
        </w:tc>
        <w:tc>
          <w:tcPr>
            <w:tcW w:w="8498" w:type="dxa"/>
            <w:gridSpan w:val="5"/>
          </w:tcPr>
          <w:p w14:paraId="399B60C9" w14:textId="77777777" w:rsidR="00C47BC8" w:rsidRDefault="00C47BC8">
            <w:pPr>
              <w:pStyle w:val="TableParagraph"/>
              <w:rPr>
                <w:rFonts w:ascii="Times New Roman"/>
                <w:sz w:val="16"/>
              </w:rPr>
            </w:pPr>
          </w:p>
        </w:tc>
      </w:tr>
      <w:tr w:rsidR="00C47BC8" w14:paraId="3EB2EBD8" w14:textId="77777777">
        <w:trPr>
          <w:trHeight w:val="2068"/>
        </w:trPr>
        <w:tc>
          <w:tcPr>
            <w:tcW w:w="2440" w:type="dxa"/>
            <w:vMerge/>
            <w:tcBorders>
              <w:top w:val="nil"/>
              <w:bottom w:val="nil"/>
            </w:tcBorders>
            <w:shd w:val="clear" w:color="auto" w:fill="D9D9D9"/>
          </w:tcPr>
          <w:p w14:paraId="6AC049DE" w14:textId="77777777" w:rsidR="00C47BC8" w:rsidRDefault="00C47BC8">
            <w:pPr>
              <w:rPr>
                <w:sz w:val="2"/>
                <w:szCs w:val="2"/>
              </w:rPr>
            </w:pPr>
          </w:p>
        </w:tc>
        <w:tc>
          <w:tcPr>
            <w:tcW w:w="408" w:type="dxa"/>
            <w:tcBorders>
              <w:bottom w:val="nil"/>
            </w:tcBorders>
          </w:tcPr>
          <w:p w14:paraId="6DDEC49A" w14:textId="77777777" w:rsidR="00C47BC8" w:rsidRDefault="00C47BC8">
            <w:pPr>
              <w:pStyle w:val="TableParagraph"/>
              <w:rPr>
                <w:rFonts w:ascii="Times New Roman"/>
                <w:sz w:val="18"/>
              </w:rPr>
            </w:pPr>
          </w:p>
        </w:tc>
        <w:tc>
          <w:tcPr>
            <w:tcW w:w="8498" w:type="dxa"/>
            <w:gridSpan w:val="5"/>
          </w:tcPr>
          <w:p w14:paraId="16294AEC" w14:textId="77777777" w:rsidR="00C47BC8" w:rsidRDefault="00606574">
            <w:pPr>
              <w:pStyle w:val="TableParagraph"/>
              <w:ind w:left="827" w:right="512"/>
              <w:rPr>
                <w:b/>
                <w:i/>
                <w:sz w:val="20"/>
              </w:rPr>
            </w:pPr>
            <w:r>
              <w:rPr>
                <w:b/>
                <w:i/>
                <w:sz w:val="18"/>
              </w:rPr>
              <w:t>In che modo l’uso di derivati consente di raggiungere le caratteristiche ambientali o sociali promosse dal prodotto finanziario?</w:t>
            </w:r>
          </w:p>
          <w:p w14:paraId="492C06B1" w14:textId="77777777" w:rsidR="00C47BC8" w:rsidRDefault="00C47BC8">
            <w:pPr>
              <w:pStyle w:val="TableParagraph"/>
              <w:rPr>
                <w:b/>
                <w:sz w:val="20"/>
              </w:rPr>
            </w:pPr>
          </w:p>
          <w:p w14:paraId="39098EAA" w14:textId="77777777" w:rsidR="00C47BC8" w:rsidRDefault="00606574">
            <w:pPr>
              <w:pStyle w:val="TableParagraph"/>
              <w:ind w:left="107" w:right="96"/>
              <w:jc w:val="both"/>
              <w:rPr>
                <w:sz w:val="20"/>
              </w:rPr>
            </w:pPr>
            <w:r>
              <w:rPr>
                <w:sz w:val="18"/>
              </w:rPr>
              <w:t>Il Fondo può utilizzare derivati a fini di investimento e di gestione efficiente del portafoglio in relazione alle caratteristiche ambientali o sociali promosse dal Fondo. Laddove il Fondo utilizzi derivati per promuovere caratteristiche ambientali o sociali, qualsiasi rating o analisi ESG di cui sopra si applicherà all’investimento sottostante.</w:t>
            </w:r>
          </w:p>
        </w:tc>
      </w:tr>
    </w:tbl>
    <w:p w14:paraId="710EA05F" w14:textId="77777777" w:rsidR="00C47BC8" w:rsidRDefault="00C47BC8">
      <w:pPr>
        <w:pStyle w:val="TableParagraph"/>
        <w:jc w:val="both"/>
        <w:rPr>
          <w:sz w:val="20"/>
        </w:rPr>
        <w:sectPr w:rsidR="00C47BC8">
          <w:pgSz w:w="11910" w:h="16840"/>
          <w:pgMar w:top="1380" w:right="425" w:bottom="800" w:left="0" w:header="0" w:footer="617" w:gutter="0"/>
          <w:cols w:space="708"/>
        </w:sectPr>
      </w:pPr>
    </w:p>
    <w:p w14:paraId="592B53B9" w14:textId="77777777" w:rsidR="00C47BC8" w:rsidRDefault="00C47BC8">
      <w:pPr>
        <w:pStyle w:val="Corpotesto"/>
        <w:rPr>
          <w:b/>
          <w:sz w:val="2"/>
        </w:rPr>
      </w:pPr>
    </w:p>
    <w:tbl>
      <w:tblPr>
        <w:tblStyle w:val="TableNormal"/>
        <w:tblW w:w="0" w:type="auto"/>
        <w:tblInd w:w="29" w:type="dxa"/>
        <w:tblBorders>
          <w:top w:val="single" w:sz="4" w:space="0" w:color="E8E8E8"/>
          <w:left w:val="single" w:sz="4" w:space="0" w:color="E8E8E8"/>
          <w:bottom w:val="single" w:sz="4" w:space="0" w:color="E8E8E8"/>
          <w:right w:val="single" w:sz="4" w:space="0" w:color="E8E8E8"/>
          <w:insideH w:val="single" w:sz="4" w:space="0" w:color="E8E8E8"/>
          <w:insideV w:val="single" w:sz="4" w:space="0" w:color="E8E8E8"/>
        </w:tblBorders>
        <w:tblLayout w:type="fixed"/>
        <w:tblLook w:val="01E0" w:firstRow="1" w:lastRow="1" w:firstColumn="1" w:lastColumn="1" w:noHBand="0" w:noVBand="0"/>
      </w:tblPr>
      <w:tblGrid>
        <w:gridCol w:w="2440"/>
        <w:gridCol w:w="408"/>
        <w:gridCol w:w="107"/>
        <w:gridCol w:w="646"/>
        <w:gridCol w:w="3166"/>
        <w:gridCol w:w="256"/>
        <w:gridCol w:w="4055"/>
        <w:gridCol w:w="266"/>
      </w:tblGrid>
      <w:tr w:rsidR="00C47BC8" w14:paraId="741ACDE0" w14:textId="77777777">
        <w:trPr>
          <w:trHeight w:hRule="exact" w:val="1717"/>
        </w:trPr>
        <w:tc>
          <w:tcPr>
            <w:tcW w:w="2440" w:type="dxa"/>
            <w:vMerge w:val="restart"/>
            <w:tcBorders>
              <w:top w:val="nil"/>
              <w:left w:val="nil"/>
              <w:bottom w:val="nil"/>
            </w:tcBorders>
            <w:shd w:val="clear" w:color="auto" w:fill="D9D9D9"/>
          </w:tcPr>
          <w:p w14:paraId="6E37B9BE" w14:textId="77777777" w:rsidR="00C47BC8" w:rsidRDefault="00C47BC8">
            <w:pPr>
              <w:pStyle w:val="TableParagraph"/>
              <w:spacing w:before="3"/>
              <w:rPr>
                <w:b/>
                <w:sz w:val="18"/>
              </w:rPr>
            </w:pPr>
          </w:p>
          <w:p w14:paraId="6ADDB08C" w14:textId="77777777" w:rsidR="00C47BC8" w:rsidRDefault="00606574">
            <w:pPr>
              <w:pStyle w:val="TableParagraph"/>
              <w:ind w:left="260" w:right="101"/>
              <w:jc w:val="both"/>
              <w:rPr>
                <w:sz w:val="18"/>
              </w:rPr>
            </w:pPr>
            <w:r>
              <w:rPr>
                <w:sz w:val="16"/>
              </w:rPr>
              <w:t xml:space="preserve">Per conformarsi alla tassonomia dell'UE, i criteri per </w:t>
            </w:r>
            <w:r>
              <w:rPr>
                <w:b/>
                <w:sz w:val="16"/>
              </w:rPr>
              <w:t xml:space="preserve">il gas fossile </w:t>
            </w:r>
            <w:r>
              <w:rPr>
                <w:sz w:val="16"/>
              </w:rPr>
              <w:t xml:space="preserve">includono limitazioni alle emissioni e il passaggio all'energia rinnovabile o a combustibili a basse emissioni di carbonio entro la fine del 2035. Per </w:t>
            </w:r>
            <w:r>
              <w:rPr>
                <w:b/>
                <w:sz w:val="16"/>
              </w:rPr>
              <w:t>l'energia nucleare</w:t>
            </w:r>
            <w:r>
              <w:rPr>
                <w:sz w:val="16"/>
              </w:rPr>
              <w:t>, i criteri includono norme complete in materia di sicurezza e gestione dei rifiuti.</w:t>
            </w:r>
          </w:p>
        </w:tc>
        <w:tc>
          <w:tcPr>
            <w:tcW w:w="408" w:type="dxa"/>
            <w:tcBorders>
              <w:top w:val="single" w:sz="4" w:space="0" w:color="FFFFFF"/>
            </w:tcBorders>
          </w:tcPr>
          <w:p w14:paraId="55CAD4E2" w14:textId="77777777" w:rsidR="00C47BC8" w:rsidRDefault="00C47BC8">
            <w:pPr>
              <w:pStyle w:val="TableParagraph"/>
              <w:rPr>
                <w:rFonts w:ascii="Times New Roman"/>
                <w:sz w:val="18"/>
              </w:rPr>
            </w:pPr>
          </w:p>
        </w:tc>
        <w:tc>
          <w:tcPr>
            <w:tcW w:w="107" w:type="dxa"/>
            <w:tcBorders>
              <w:bottom w:val="nil"/>
              <w:right w:val="nil"/>
            </w:tcBorders>
          </w:tcPr>
          <w:p w14:paraId="6155BCD7" w14:textId="77777777" w:rsidR="00C47BC8" w:rsidRDefault="00C47BC8">
            <w:pPr>
              <w:pStyle w:val="TableParagraph"/>
              <w:rPr>
                <w:rFonts w:ascii="Times New Roman"/>
                <w:sz w:val="18"/>
              </w:rPr>
            </w:pPr>
          </w:p>
        </w:tc>
        <w:tc>
          <w:tcPr>
            <w:tcW w:w="8389" w:type="dxa"/>
            <w:gridSpan w:val="5"/>
            <w:tcBorders>
              <w:left w:val="nil"/>
              <w:bottom w:val="nil"/>
              <w:right w:val="nil"/>
            </w:tcBorders>
          </w:tcPr>
          <w:p w14:paraId="313A5CAC" w14:textId="77777777" w:rsidR="00C47BC8" w:rsidRDefault="00606574">
            <w:pPr>
              <w:pStyle w:val="TableParagraph"/>
              <w:ind w:left="737"/>
              <w:rPr>
                <w:b/>
                <w:sz w:val="20"/>
              </w:rPr>
            </w:pPr>
            <w:r>
              <w:rPr>
                <w:b/>
                <w:noProof/>
                <w:sz w:val="20"/>
              </w:rPr>
              <mc:AlternateContent>
                <mc:Choice Requires="wpg">
                  <w:drawing>
                    <wp:anchor distT="0" distB="0" distL="0" distR="0" simplePos="0" relativeHeight="251680768" behindDoc="1" locked="0" layoutInCell="1" allowOverlap="1" wp14:anchorId="2729CE80" wp14:editId="09E3DEA4">
                      <wp:simplePos x="0" y="0"/>
                      <wp:positionH relativeFrom="column">
                        <wp:posOffset>-5714</wp:posOffset>
                      </wp:positionH>
                      <wp:positionV relativeFrom="paragraph">
                        <wp:posOffset>-509</wp:posOffset>
                      </wp:positionV>
                      <wp:extent cx="358775" cy="358775"/>
                      <wp:effectExtent l="0" t="0" r="0" b="0"/>
                      <wp:wrapNone/>
                      <wp:docPr id="50" name="Group 50"/>
                      <wp:cNvGraphicFramePr/>
                      <a:graphic xmlns:a="http://schemas.openxmlformats.org/drawingml/2006/main">
                        <a:graphicData uri="http://schemas.microsoft.com/office/word/2010/wordprocessingGroup">
                          <wpg:wgp>
                            <wpg:cNvGrpSpPr/>
                            <wpg:grpSpPr>
                              <a:xfrm>
                                <a:off x="0" y="0"/>
                                <a:ext cx="358775" cy="358775"/>
                                <a:chOff x="0" y="0"/>
                                <a:chExt cx="358775" cy="358775"/>
                              </a:xfrm>
                            </wpg:grpSpPr>
                            <pic:pic xmlns:pic="http://schemas.openxmlformats.org/drawingml/2006/picture">
                              <pic:nvPicPr>
                                <pic:cNvPr id="51" name="Image 51"/>
                                <pic:cNvPicPr/>
                              </pic:nvPicPr>
                              <pic:blipFill>
                                <a:blip r:embed="rId35" cstate="print"/>
                                <a:stretch>
                                  <a:fillRect/>
                                </a:stretch>
                              </pic:blipFill>
                              <pic:spPr>
                                <a:xfrm>
                                  <a:off x="0" y="0"/>
                                  <a:ext cx="358330" cy="358330"/>
                                </a:xfrm>
                                <a:prstGeom prst="rect">
                                  <a:avLst/>
                                </a:prstGeom>
                              </pic:spPr>
                            </pic:pic>
                          </wpg:wgp>
                        </a:graphicData>
                      </a:graphic>
                    </wp:anchor>
                  </w:drawing>
                </mc:Choice>
                <mc:Fallback>
                  <w:pict>
                    <v:group w14:anchorId="4EF2C28C" id="Group 50" o:spid="_x0000_s1026" style="position:absolute;margin-left:-.45pt;margin-top:-.05pt;width:28.25pt;height:28.25pt;z-index:-251635712;mso-wrap-distance-left:0;mso-wrap-distance-right:0" coordsize="358775,3587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">
                      <v:shape id="Image 51" o:spid="_x0000_s1027" type="#_x0000_t75" style="position:absolute;width:358330;height:3583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">
                        <v:imagedata r:id="rId36" o:title=""/>
                      </v:shape>
                    </v:group>
                  </w:pict>
                </mc:Fallback>
              </mc:AlternateContent>
            </w:r>
            <w:r>
              <w:rPr>
                <w:b/>
                <w:sz w:val="18"/>
              </w:rPr>
              <w:t>In che misura minima gli investimenti sostenibili con un obiettivo ambientale sono allineati alla Tassonomia UE?</w:t>
            </w:r>
          </w:p>
          <w:p w14:paraId="270200C9" w14:textId="77777777" w:rsidR="00C47BC8" w:rsidRDefault="00C47BC8">
            <w:pPr>
              <w:pStyle w:val="TableParagraph"/>
              <w:spacing w:before="229"/>
              <w:rPr>
                <w:b/>
                <w:sz w:val="20"/>
              </w:rPr>
            </w:pPr>
          </w:p>
          <w:p w14:paraId="12E4F1BE" w14:textId="77777777" w:rsidR="00C47BC8" w:rsidRDefault="00606574">
            <w:pPr>
              <w:pStyle w:val="TableParagraph"/>
              <w:spacing w:before="1"/>
              <w:rPr>
                <w:sz w:val="20"/>
              </w:rPr>
            </w:pPr>
            <w:r>
              <w:rPr>
                <w:sz w:val="18"/>
              </w:rPr>
              <w:t>Il Fondo non si impegna attualmente a investire più dello 0% del proprio patrimonio in investimenti sostenibili con un obiettivo ambientale allineato alla Tassonomia UE.</w:t>
            </w:r>
          </w:p>
        </w:tc>
      </w:tr>
      <w:tr w:rsidR="00C47BC8" w14:paraId="3D066F0B" w14:textId="77777777">
        <w:trPr>
          <w:trHeight w:hRule="exact" w:val="1084"/>
        </w:trPr>
        <w:tc>
          <w:tcPr>
            <w:tcW w:w="2440" w:type="dxa"/>
            <w:vMerge/>
            <w:tcBorders>
              <w:top w:val="nil"/>
              <w:left w:val="nil"/>
              <w:bottom w:val="nil"/>
            </w:tcBorders>
            <w:shd w:val="clear" w:color="auto" w:fill="D9D9D9"/>
          </w:tcPr>
          <w:p w14:paraId="435911FF" w14:textId="77777777" w:rsidR="00C47BC8" w:rsidRDefault="00C47BC8">
            <w:pPr>
              <w:rPr>
                <w:sz w:val="2"/>
                <w:szCs w:val="2"/>
              </w:rPr>
            </w:pPr>
          </w:p>
        </w:tc>
        <w:tc>
          <w:tcPr>
            <w:tcW w:w="408" w:type="dxa"/>
            <w:vMerge w:val="restart"/>
          </w:tcPr>
          <w:p w14:paraId="4B1434C9" w14:textId="77777777" w:rsidR="00C47BC8" w:rsidRDefault="00C47BC8">
            <w:pPr>
              <w:pStyle w:val="TableParagraph"/>
              <w:rPr>
                <w:rFonts w:ascii="Times New Roman"/>
                <w:sz w:val="18"/>
              </w:rPr>
            </w:pPr>
          </w:p>
        </w:tc>
        <w:tc>
          <w:tcPr>
            <w:tcW w:w="107" w:type="dxa"/>
            <w:vMerge w:val="restart"/>
            <w:tcBorders>
              <w:top w:val="nil"/>
              <w:right w:val="nil"/>
            </w:tcBorders>
          </w:tcPr>
          <w:p w14:paraId="6139D1FE" w14:textId="77777777" w:rsidR="00C47BC8" w:rsidRDefault="00C47BC8">
            <w:pPr>
              <w:pStyle w:val="TableParagraph"/>
              <w:rPr>
                <w:rFonts w:ascii="Times New Roman"/>
                <w:sz w:val="18"/>
              </w:rPr>
            </w:pPr>
          </w:p>
        </w:tc>
        <w:tc>
          <w:tcPr>
            <w:tcW w:w="8389" w:type="dxa"/>
            <w:gridSpan w:val="5"/>
            <w:vMerge w:val="restart"/>
            <w:tcBorders>
              <w:top w:val="nil"/>
              <w:left w:val="nil"/>
              <w:right w:val="nil"/>
            </w:tcBorders>
          </w:tcPr>
          <w:p w14:paraId="0239E85A" w14:textId="77777777" w:rsidR="00C47BC8" w:rsidRDefault="00606574">
            <w:pPr>
              <w:pStyle w:val="TableParagraph"/>
              <w:spacing w:before="4"/>
              <w:ind w:left="340"/>
              <w:rPr>
                <w:b/>
                <w:sz w:val="20"/>
              </w:rPr>
            </w:pPr>
            <w:r>
              <w:rPr>
                <w:b/>
                <w:noProof/>
                <w:sz w:val="20"/>
              </w:rPr>
              <mc:AlternateContent>
                <mc:Choice Requires="wpg">
                  <w:drawing>
                    <wp:anchor distT="0" distB="0" distL="0" distR="0" simplePos="0" relativeHeight="251682816" behindDoc="1" locked="0" layoutInCell="1" allowOverlap="1" wp14:anchorId="05E100C4" wp14:editId="23E701BF">
                      <wp:simplePos x="0" y="0"/>
                      <wp:positionH relativeFrom="column">
                        <wp:posOffset>-5714</wp:posOffset>
                      </wp:positionH>
                      <wp:positionV relativeFrom="paragraph">
                        <wp:posOffset>10285</wp:posOffset>
                      </wp:positionV>
                      <wp:extent cx="130175" cy="130175"/>
                      <wp:effectExtent l="0" t="0" r="0" b="0"/>
                      <wp:wrapNone/>
                      <wp:docPr id="52" name="Group 52"/>
                      <wp:cNvGraphicFramePr/>
                      <a:graphic xmlns:a="http://schemas.openxmlformats.org/drawingml/2006/main">
                        <a:graphicData uri="http://schemas.microsoft.com/office/word/2010/wordprocessingGroup">
                          <wpg:wgp>
                            <wpg:cNvGrpSpPr/>
                            <wpg:grpSpPr>
                              <a:xfrm>
                                <a:off x="0" y="0"/>
                                <a:ext cx="130175" cy="130175"/>
                                <a:chOff x="0" y="0"/>
                                <a:chExt cx="130175" cy="130175"/>
                              </a:xfrm>
                            </wpg:grpSpPr>
                            <pic:pic xmlns:pic="http://schemas.openxmlformats.org/drawingml/2006/picture">
                              <pic:nvPicPr>
                                <pic:cNvPr id="53" name="Image 53"/>
                                <pic:cNvPicPr/>
                              </pic:nvPicPr>
                              <pic:blipFill>
                                <a:blip r:embed="rId37" cstate="print"/>
                                <a:stretch>
                                  <a:fillRect/>
                                </a:stretch>
                              </pic:blipFill>
                              <pic:spPr>
                                <a:xfrm>
                                  <a:off x="0" y="0"/>
                                  <a:ext cx="130175" cy="130175"/>
                                </a:xfrm>
                                <a:prstGeom prst="rect">
                                  <a:avLst/>
                                </a:prstGeom>
                              </pic:spPr>
                            </pic:pic>
                          </wpg:wgp>
                        </a:graphicData>
                      </a:graphic>
                    </wp:anchor>
                  </w:drawing>
                </mc:Choice>
                <mc:Fallback>
                  <w:pict>
                    <v:group w14:anchorId="19AE4ED2" id="Group 52" o:spid="_x0000_s1026" style="position:absolute;margin-left:-.45pt;margin-top:.8pt;width:10.25pt;height:10.25pt;z-index:-251633664;mso-wrap-distance-left:0;mso-wrap-distance-right:0" coordsize="130175,1301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">
                      <v:shape id="Image 53" o:spid="_x0000_s1027" type="#_x0000_t75" style="position:absolute;width:130175;height:1301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">
                        <v:imagedata r:id="rId38" o:title=""/>
                      </v:shape>
                    </v:group>
                  </w:pict>
                </mc:Fallback>
              </mc:AlternateContent>
            </w:r>
            <w:r>
              <w:rPr>
                <w:b/>
                <w:sz w:val="18"/>
              </w:rPr>
              <w:t>Il prodotto finanziario investe in attività legate al gas fossile e/o all'energia nucleare conformi alla Tassonomia UE</w:t>
            </w:r>
            <w:hyperlink w:anchor="_bookmark0" w:history="1">
              <w:r>
                <w:rPr>
                  <w:sz w:val="18"/>
                  <w:vertAlign w:val="superscript"/>
                </w:rPr>
                <w:t>4</w:t>
              </w:r>
            </w:hyperlink>
            <w:r>
              <w:rPr>
                <w:b/>
                <w:sz w:val="18"/>
              </w:rPr>
              <w:t xml:space="preserve"> ?</w:t>
            </w:r>
          </w:p>
          <w:p w14:paraId="02936777" w14:textId="77777777" w:rsidR="00C47BC8" w:rsidRDefault="00606574">
            <w:pPr>
              <w:pStyle w:val="TableParagraph"/>
              <w:numPr>
                <w:ilvl w:val="0"/>
                <w:numId w:val="1"/>
              </w:numPr>
              <w:tabs>
                <w:tab w:val="left" w:pos="540"/>
              </w:tabs>
              <w:spacing w:line="266" w:lineRule="exact"/>
              <w:ind w:left="540" w:hanging="200"/>
              <w:rPr>
                <w:sz w:val="20"/>
              </w:rPr>
            </w:pPr>
            <w:r>
              <w:rPr>
                <w:spacing w:val="-4"/>
                <w:sz w:val="18"/>
              </w:rPr>
              <w:t>Sì:</w:t>
            </w:r>
          </w:p>
          <w:p w14:paraId="6BF4FE7F" w14:textId="77777777" w:rsidR="00C47BC8" w:rsidRDefault="00606574">
            <w:pPr>
              <w:pStyle w:val="TableParagraph"/>
              <w:numPr>
                <w:ilvl w:val="1"/>
                <w:numId w:val="1"/>
              </w:numPr>
              <w:tabs>
                <w:tab w:val="left" w:pos="878"/>
              </w:tabs>
              <w:spacing w:line="259" w:lineRule="exact"/>
              <w:ind w:left="878" w:hanging="254"/>
              <w:rPr>
                <w:sz w:val="20"/>
              </w:rPr>
            </w:pPr>
            <w:r>
              <w:rPr>
                <w:w w:val="105"/>
                <w:sz w:val="18"/>
              </w:rPr>
              <w:t>Nel gas fossile</w:t>
            </w:r>
            <w:r>
              <w:rPr>
                <w:rFonts w:ascii="Arial Unicode MS" w:hAnsi="Arial Unicode MS"/>
                <w:w w:val="105"/>
                <w:sz w:val="18"/>
              </w:rPr>
              <w:t xml:space="preserve"> ☐ </w:t>
            </w:r>
            <w:r>
              <w:rPr>
                <w:w w:val="105"/>
                <w:sz w:val="18"/>
              </w:rPr>
              <w:t>Nell'energia nucleare</w:t>
            </w:r>
          </w:p>
          <w:p w14:paraId="30D43CCD" w14:textId="77777777" w:rsidR="00C47BC8" w:rsidRDefault="00606574">
            <w:pPr>
              <w:pStyle w:val="TableParagraph"/>
              <w:spacing w:line="304" w:lineRule="exact"/>
              <w:ind w:left="340"/>
              <w:rPr>
                <w:sz w:val="20"/>
              </w:rPr>
            </w:pPr>
            <w:r>
              <w:rPr>
                <w:rFonts w:ascii="Arial Unicode MS" w:hAnsi="Arial Unicode MS"/>
                <w:w w:val="110"/>
                <w:sz w:val="18"/>
              </w:rPr>
              <w:t>✔</w:t>
            </w:r>
            <w:r>
              <w:rPr>
                <w:rFonts w:ascii="Arial Unicode MS" w:hAnsi="Arial Unicode MS"/>
                <w:w w:val="110"/>
                <w:sz w:val="18"/>
              </w:rPr>
              <w:t xml:space="preserve"> </w:t>
            </w:r>
            <w:r>
              <w:rPr>
                <w:spacing w:val="-5"/>
                <w:w w:val="110"/>
                <w:sz w:val="18"/>
              </w:rPr>
              <w:t>No</w:t>
            </w:r>
          </w:p>
          <w:p w14:paraId="592D619B" w14:textId="77777777" w:rsidR="00C47BC8" w:rsidRDefault="00606574">
            <w:pPr>
              <w:pStyle w:val="TableParagraph"/>
              <w:spacing w:before="182"/>
              <w:rPr>
                <w:sz w:val="20"/>
              </w:rPr>
            </w:pPr>
            <w:r>
              <w:rPr>
                <w:sz w:val="18"/>
              </w:rPr>
              <w:t>Il Fondo non si impegna attualmente a investire in attività legate al gas fossile e/o all'energia nucleare conformi alla Tassonomia UE.</w:t>
            </w:r>
          </w:p>
        </w:tc>
      </w:tr>
      <w:tr w:rsidR="00C47BC8" w14:paraId="74EE13D7" w14:textId="77777777">
        <w:trPr>
          <w:trHeight w:hRule="exact" w:val="1084"/>
        </w:trPr>
        <w:tc>
          <w:tcPr>
            <w:tcW w:w="2440" w:type="dxa"/>
            <w:vMerge w:val="restart"/>
            <w:tcBorders>
              <w:top w:val="nil"/>
              <w:left w:val="nil"/>
              <w:bottom w:val="nil"/>
            </w:tcBorders>
            <w:shd w:val="clear" w:color="auto" w:fill="D9D9D9"/>
          </w:tcPr>
          <w:p w14:paraId="3ADEDCE0" w14:textId="77777777" w:rsidR="00C47BC8" w:rsidRDefault="00606574">
            <w:pPr>
              <w:pStyle w:val="TableParagraph"/>
              <w:tabs>
                <w:tab w:val="left" w:pos="1199"/>
                <w:tab w:val="left" w:pos="1560"/>
              </w:tabs>
              <w:spacing w:before="100"/>
              <w:ind w:left="260" w:right="102"/>
              <w:jc w:val="both"/>
              <w:rPr>
                <w:sz w:val="18"/>
              </w:rPr>
            </w:pPr>
            <w:r>
              <w:rPr>
                <w:b/>
                <w:spacing w:val="-2"/>
                <w:sz w:val="16"/>
              </w:rPr>
              <w:t>Le attività abilitanti</w:t>
            </w:r>
            <w:r>
              <w:rPr>
                <w:b/>
                <w:sz w:val="16"/>
              </w:rPr>
              <w:tab/>
            </w:r>
            <w:r>
              <w:rPr>
                <w:b/>
                <w:sz w:val="16"/>
              </w:rPr>
              <w:tab/>
            </w:r>
            <w:r>
              <w:rPr>
                <w:b/>
                <w:spacing w:val="-2"/>
                <w:sz w:val="16"/>
              </w:rPr>
              <w:t xml:space="preserve">attività </w:t>
            </w:r>
            <w:r>
              <w:rPr>
                <w:sz w:val="16"/>
              </w:rPr>
              <w:t>abilitanti consentono direttamente ad altre attività di contribuire in modo sostanziale a un</w:t>
            </w:r>
            <w:r>
              <w:rPr>
                <w:sz w:val="16"/>
              </w:rPr>
              <w:tab/>
            </w:r>
            <w:r>
              <w:rPr>
                <w:spacing w:val="-2"/>
                <w:sz w:val="16"/>
              </w:rPr>
              <w:t>obiettivo ambientale.</w:t>
            </w:r>
          </w:p>
          <w:p w14:paraId="12CC5C16" w14:textId="77777777" w:rsidR="00C47BC8" w:rsidRDefault="00C47BC8">
            <w:pPr>
              <w:pStyle w:val="TableParagraph"/>
              <w:rPr>
                <w:b/>
                <w:sz w:val="18"/>
              </w:rPr>
            </w:pPr>
          </w:p>
          <w:p w14:paraId="44F5823F" w14:textId="77777777" w:rsidR="00C47BC8" w:rsidRDefault="00606574">
            <w:pPr>
              <w:pStyle w:val="TableParagraph"/>
              <w:ind w:left="260" w:right="101"/>
              <w:jc w:val="both"/>
              <w:rPr>
                <w:sz w:val="18"/>
              </w:rPr>
            </w:pPr>
            <w:r>
              <w:rPr>
                <w:b/>
                <w:sz w:val="16"/>
              </w:rPr>
              <w:t xml:space="preserve">Le attività di transizione </w:t>
            </w:r>
            <w:r>
              <w:rPr>
                <w:sz w:val="16"/>
              </w:rPr>
              <w:t>sono attività per le quali non sono ancora disponibili alternative a basse emissioni di carbonio e che, tra l’altro, presentano livelli di emissioni di gas serra corrispondenti alle migliori prestazioni.</w:t>
            </w:r>
          </w:p>
        </w:tc>
        <w:tc>
          <w:tcPr>
            <w:tcW w:w="408" w:type="dxa"/>
            <w:vMerge/>
            <w:tcBorders>
              <w:top w:val="nil"/>
            </w:tcBorders>
          </w:tcPr>
          <w:p w14:paraId="199284F4" w14:textId="77777777" w:rsidR="00C47BC8" w:rsidRDefault="00C47BC8">
            <w:pPr>
              <w:rPr>
                <w:sz w:val="2"/>
                <w:szCs w:val="2"/>
              </w:rPr>
            </w:pPr>
          </w:p>
        </w:tc>
        <w:tc>
          <w:tcPr>
            <w:tcW w:w="107" w:type="dxa"/>
            <w:vMerge/>
            <w:tcBorders>
              <w:top w:val="nil"/>
              <w:right w:val="nil"/>
            </w:tcBorders>
          </w:tcPr>
          <w:p w14:paraId="250344DB" w14:textId="77777777" w:rsidR="00C47BC8" w:rsidRDefault="00C47BC8">
            <w:pPr>
              <w:rPr>
                <w:sz w:val="2"/>
                <w:szCs w:val="2"/>
              </w:rPr>
            </w:pPr>
          </w:p>
        </w:tc>
        <w:tc>
          <w:tcPr>
            <w:tcW w:w="8389" w:type="dxa"/>
            <w:gridSpan w:val="5"/>
            <w:vMerge/>
            <w:tcBorders>
              <w:top w:val="nil"/>
              <w:left w:val="nil"/>
              <w:right w:val="nil"/>
            </w:tcBorders>
          </w:tcPr>
          <w:p w14:paraId="09755297" w14:textId="77777777" w:rsidR="00C47BC8" w:rsidRDefault="00C47BC8">
            <w:pPr>
              <w:rPr>
                <w:sz w:val="2"/>
                <w:szCs w:val="2"/>
              </w:rPr>
            </w:pPr>
          </w:p>
        </w:tc>
      </w:tr>
      <w:tr w:rsidR="00C47BC8" w14:paraId="0BCFC8F7" w14:textId="77777777">
        <w:trPr>
          <w:trHeight w:hRule="exact" w:val="1389"/>
        </w:trPr>
        <w:tc>
          <w:tcPr>
            <w:tcW w:w="2440" w:type="dxa"/>
            <w:vMerge/>
            <w:tcBorders>
              <w:top w:val="nil"/>
              <w:left w:val="nil"/>
              <w:bottom w:val="nil"/>
            </w:tcBorders>
            <w:shd w:val="clear" w:color="auto" w:fill="D9D9D9"/>
          </w:tcPr>
          <w:p w14:paraId="6C7C06A7" w14:textId="77777777" w:rsidR="00C47BC8" w:rsidRDefault="00C47BC8">
            <w:pPr>
              <w:rPr>
                <w:sz w:val="2"/>
                <w:szCs w:val="2"/>
              </w:rPr>
            </w:pPr>
          </w:p>
        </w:tc>
        <w:tc>
          <w:tcPr>
            <w:tcW w:w="408" w:type="dxa"/>
          </w:tcPr>
          <w:p w14:paraId="6D183611" w14:textId="77777777" w:rsidR="00C47BC8" w:rsidRDefault="00C47BC8">
            <w:pPr>
              <w:pStyle w:val="TableParagraph"/>
              <w:rPr>
                <w:rFonts w:ascii="Times New Roman"/>
                <w:sz w:val="18"/>
              </w:rPr>
            </w:pPr>
          </w:p>
        </w:tc>
        <w:tc>
          <w:tcPr>
            <w:tcW w:w="8496" w:type="dxa"/>
            <w:gridSpan w:val="6"/>
            <w:tcBorders>
              <w:right w:val="nil"/>
            </w:tcBorders>
            <w:shd w:val="clear" w:color="auto" w:fill="F9E1D4"/>
          </w:tcPr>
          <w:p w14:paraId="54DF1EB0" w14:textId="77777777" w:rsidR="00C47BC8" w:rsidRDefault="00606574">
            <w:pPr>
              <w:pStyle w:val="TableParagraph"/>
              <w:ind w:left="102" w:right="119"/>
              <w:rPr>
                <w:b/>
                <w:i/>
                <w:sz w:val="20"/>
              </w:rPr>
            </w:pPr>
            <w:r>
              <w:rPr>
                <w:b/>
                <w:i/>
                <w:sz w:val="18"/>
              </w:rPr>
              <w:t>I due grafici sottostanti mostrano la percentuale minima di investimenti allineati alla Tassonomia dell’UE. Poiché non esiste una metodologia appropriata per determinare l’allineamento alla Tassonomia delle obbligazioni sovrane*, il primo grafico mostra l’allineamento alla Tassonomia in relazione a tutti gli investimenti del prodotto finanziario, comprese le obbligazioni sovrane</w:t>
            </w:r>
          </w:p>
          <w:p w14:paraId="0EA9312A" w14:textId="77777777" w:rsidR="00C47BC8" w:rsidRDefault="00606574">
            <w:pPr>
              <w:pStyle w:val="TableParagraph"/>
              <w:spacing w:line="230" w:lineRule="exact"/>
              <w:ind w:left="102" w:right="119"/>
              <w:rPr>
                <w:b/>
                <w:i/>
                <w:sz w:val="20"/>
              </w:rPr>
            </w:pPr>
            <w:r>
              <w:rPr>
                <w:b/>
                <w:i/>
                <w:noProof/>
                <w:sz w:val="20"/>
              </w:rPr>
              <mc:AlternateContent>
                <mc:Choice Requires="wpg">
                  <w:drawing>
                    <wp:anchor distT="0" distB="0" distL="0" distR="0" simplePos="0" relativeHeight="251678720" behindDoc="1" locked="0" layoutInCell="1" allowOverlap="1" wp14:anchorId="703ACC1C" wp14:editId="1AB53234">
                      <wp:simplePos x="0" y="0"/>
                      <wp:positionH relativeFrom="column">
                        <wp:posOffset>3047</wp:posOffset>
                      </wp:positionH>
                      <wp:positionV relativeFrom="paragraph">
                        <wp:posOffset>298245</wp:posOffset>
                      </wp:positionV>
                      <wp:extent cx="5393055" cy="2360930"/>
                      <wp:effectExtent l="0" t="0" r="0" b="0"/>
                      <wp:wrapNone/>
                      <wp:docPr id="54" name="Group 54"/>
                      <wp:cNvGraphicFramePr/>
                      <a:graphic xmlns:a="http://schemas.openxmlformats.org/drawingml/2006/main">
                        <a:graphicData uri="http://schemas.microsoft.com/office/word/2010/wordprocessingGroup">
                          <wpg:wgp>
                            <wpg:cNvGrpSpPr/>
                            <wpg:grpSpPr>
                              <a:xfrm>
                                <a:off x="0" y="0"/>
                                <a:ext cx="5393055" cy="2360930"/>
                                <a:chOff x="0" y="0"/>
                                <a:chExt cx="5393055" cy="2360930"/>
                              </a:xfrm>
                            </wpg:grpSpPr>
                            <wps:wsp>
                              <wps:cNvPr id="55" name="Graphic 55"/>
                              <wps:cNvSpPr/>
                              <wps:spPr>
                                <a:xfrm>
                                  <a:off x="0" y="635"/>
                                  <a:ext cx="5393055" cy="2360295"/>
                                </a:xfrm>
                                <a:custGeom>
                                  <a:avLst/>
                                  <a:gdLst/>
                                  <a:ahLst/>
                                  <a:cxnLst/>
                                  <a:rect l="l" t="t" r="r" b="b"/>
                                  <a:pathLst>
                                    <a:path w="5393055" h="2360295">
                                      <a:moveTo>
                                        <a:pt x="5392928" y="0"/>
                                      </a:moveTo>
                                      <a:lnTo>
                                        <a:pt x="0" y="0"/>
                                      </a:lnTo>
                                      <a:lnTo>
                                        <a:pt x="0" y="2359914"/>
                                      </a:lnTo>
                                      <a:lnTo>
                                        <a:pt x="5392928" y="2359914"/>
                                      </a:lnTo>
                                      <a:lnTo>
                                        <a:pt x="5392928" y="0"/>
                                      </a:lnTo>
                                      <a:close/>
                                    </a:path>
                                  </a:pathLst>
                                </a:custGeom>
                                <a:solidFill>
                                  <a:srgbClr val="F9E1D4"/>
                                </a:solidFill>
                              </wps:spPr>
                              <wps:bodyPr wrap="square" lIns="0" tIns="0" rIns="0" bIns="0" rtlCol="0">
                                <a:prstTxWarp prst="textNoShape">
                                  <a:avLst/>
                                </a:prstTxWarp>
                              </wps:bodyPr>
                            </wps:wsp>
                            <wps:wsp>
                              <wps:cNvPr id="56" name="Graphic 56"/>
                              <wps:cNvSpPr/>
                              <wps:spPr>
                                <a:xfrm>
                                  <a:off x="65151" y="14604"/>
                                  <a:ext cx="2421255" cy="1843405"/>
                                </a:xfrm>
                                <a:custGeom>
                                  <a:avLst/>
                                  <a:gdLst/>
                                  <a:ahLst/>
                                  <a:cxnLst/>
                                  <a:rect l="l" t="t" r="r" b="b"/>
                                  <a:pathLst>
                                    <a:path w="2421255" h="1843405">
                                      <a:moveTo>
                                        <a:pt x="2421255" y="0"/>
                                      </a:moveTo>
                                      <a:lnTo>
                                        <a:pt x="0" y="0"/>
                                      </a:lnTo>
                                      <a:lnTo>
                                        <a:pt x="0" y="1843405"/>
                                      </a:lnTo>
                                      <a:lnTo>
                                        <a:pt x="2421255" y="1843405"/>
                                      </a:lnTo>
                                      <a:lnTo>
                                        <a:pt x="2421255" y="0"/>
                                      </a:lnTo>
                                      <a:close/>
                                    </a:path>
                                  </a:pathLst>
                                </a:custGeom>
                                <a:solidFill>
                                  <a:srgbClr val="FFFFFF"/>
                                </a:solidFill>
                              </wps:spPr>
                              <wps:bodyPr wrap="square" lIns="0" tIns="0" rIns="0" bIns="0" rtlCol="0">
                                <a:prstTxWarp prst="textNoShape">
                                  <a:avLst/>
                                </a:prstTxWarp>
                              </wps:bodyPr>
                            </wps:wsp>
                            <wps:wsp>
                              <wps:cNvPr id="57" name="Graphic 57"/>
                              <wps:cNvSpPr/>
                              <wps:spPr>
                                <a:xfrm>
                                  <a:off x="1417574" y="678433"/>
                                  <a:ext cx="739140" cy="739140"/>
                                </a:xfrm>
                                <a:custGeom>
                                  <a:avLst/>
                                  <a:gdLst/>
                                  <a:ahLst/>
                                  <a:cxnLst/>
                                  <a:rect l="l" t="t" r="r" b="b"/>
                                  <a:pathLst>
                                    <a:path w="739140" h="739140">
                                      <a:moveTo>
                                        <a:pt x="369569" y="0"/>
                                      </a:moveTo>
                                      <a:lnTo>
                                        <a:pt x="323215" y="2879"/>
                                      </a:lnTo>
                                      <a:lnTo>
                                        <a:pt x="278578" y="11288"/>
                                      </a:lnTo>
                                      <a:lnTo>
                                        <a:pt x="236004" y="24878"/>
                                      </a:lnTo>
                                      <a:lnTo>
                                        <a:pt x="195841" y="43304"/>
                                      </a:lnTo>
                                      <a:lnTo>
                                        <a:pt x="158434" y="66219"/>
                                      </a:lnTo>
                                      <a:lnTo>
                                        <a:pt x="124131" y="93277"/>
                                      </a:lnTo>
                                      <a:lnTo>
                                        <a:pt x="93277" y="124131"/>
                                      </a:lnTo>
                                      <a:lnTo>
                                        <a:pt x="66219" y="158434"/>
                                      </a:lnTo>
                                      <a:lnTo>
                                        <a:pt x="43304" y="195841"/>
                                      </a:lnTo>
                                      <a:lnTo>
                                        <a:pt x="24878" y="236004"/>
                                      </a:lnTo>
                                      <a:lnTo>
                                        <a:pt x="11288" y="278578"/>
                                      </a:lnTo>
                                      <a:lnTo>
                                        <a:pt x="2879" y="323215"/>
                                      </a:lnTo>
                                      <a:lnTo>
                                        <a:pt x="0" y="369569"/>
                                      </a:lnTo>
                                      <a:lnTo>
                                        <a:pt x="2879" y="415924"/>
                                      </a:lnTo>
                                      <a:lnTo>
                                        <a:pt x="11288" y="460561"/>
                                      </a:lnTo>
                                      <a:lnTo>
                                        <a:pt x="24878" y="503135"/>
                                      </a:lnTo>
                                      <a:lnTo>
                                        <a:pt x="43304" y="543298"/>
                                      </a:lnTo>
                                      <a:lnTo>
                                        <a:pt x="66219" y="580705"/>
                                      </a:lnTo>
                                      <a:lnTo>
                                        <a:pt x="93277" y="615008"/>
                                      </a:lnTo>
                                      <a:lnTo>
                                        <a:pt x="124131" y="645862"/>
                                      </a:lnTo>
                                      <a:lnTo>
                                        <a:pt x="158434" y="672920"/>
                                      </a:lnTo>
                                      <a:lnTo>
                                        <a:pt x="195841" y="695835"/>
                                      </a:lnTo>
                                      <a:lnTo>
                                        <a:pt x="236004" y="714261"/>
                                      </a:lnTo>
                                      <a:lnTo>
                                        <a:pt x="278578" y="727851"/>
                                      </a:lnTo>
                                      <a:lnTo>
                                        <a:pt x="323215" y="736260"/>
                                      </a:lnTo>
                                      <a:lnTo>
                                        <a:pt x="369569" y="739139"/>
                                      </a:lnTo>
                                      <a:lnTo>
                                        <a:pt x="415924" y="736260"/>
                                      </a:lnTo>
                                      <a:lnTo>
                                        <a:pt x="460561" y="727851"/>
                                      </a:lnTo>
                                      <a:lnTo>
                                        <a:pt x="503135" y="714261"/>
                                      </a:lnTo>
                                      <a:lnTo>
                                        <a:pt x="543298" y="695835"/>
                                      </a:lnTo>
                                      <a:lnTo>
                                        <a:pt x="580705" y="672920"/>
                                      </a:lnTo>
                                      <a:lnTo>
                                        <a:pt x="615008" y="645862"/>
                                      </a:lnTo>
                                      <a:lnTo>
                                        <a:pt x="645862" y="615008"/>
                                      </a:lnTo>
                                      <a:lnTo>
                                        <a:pt x="672920" y="580705"/>
                                      </a:lnTo>
                                      <a:lnTo>
                                        <a:pt x="695835" y="543298"/>
                                      </a:lnTo>
                                      <a:lnTo>
                                        <a:pt x="714261" y="503135"/>
                                      </a:lnTo>
                                      <a:lnTo>
                                        <a:pt x="727851" y="460561"/>
                                      </a:lnTo>
                                      <a:lnTo>
                                        <a:pt x="736260" y="415924"/>
                                      </a:lnTo>
                                      <a:lnTo>
                                        <a:pt x="739140" y="369569"/>
                                      </a:lnTo>
                                      <a:lnTo>
                                        <a:pt x="369569" y="369569"/>
                                      </a:lnTo>
                                      <a:lnTo>
                                        <a:pt x="369569" y="0"/>
                                      </a:lnTo>
                                      <a:close/>
                                    </a:path>
                                    <a:path w="739140" h="739140">
                                      <a:moveTo>
                                        <a:pt x="369569" y="0"/>
                                      </a:moveTo>
                                      <a:lnTo>
                                        <a:pt x="369569" y="369569"/>
                                      </a:lnTo>
                                      <a:lnTo>
                                        <a:pt x="739140" y="369569"/>
                                      </a:lnTo>
                                      <a:lnTo>
                                        <a:pt x="736260" y="323215"/>
                                      </a:lnTo>
                                      <a:lnTo>
                                        <a:pt x="727851" y="278578"/>
                                      </a:lnTo>
                                      <a:lnTo>
                                        <a:pt x="714261" y="236004"/>
                                      </a:lnTo>
                                      <a:lnTo>
                                        <a:pt x="695835" y="195841"/>
                                      </a:lnTo>
                                      <a:lnTo>
                                        <a:pt x="672920" y="158434"/>
                                      </a:lnTo>
                                      <a:lnTo>
                                        <a:pt x="645862" y="124131"/>
                                      </a:lnTo>
                                      <a:lnTo>
                                        <a:pt x="615008" y="93277"/>
                                      </a:lnTo>
                                      <a:lnTo>
                                        <a:pt x="580705" y="66219"/>
                                      </a:lnTo>
                                      <a:lnTo>
                                        <a:pt x="543298" y="43304"/>
                                      </a:lnTo>
                                      <a:lnTo>
                                        <a:pt x="503135" y="24878"/>
                                      </a:lnTo>
                                      <a:lnTo>
                                        <a:pt x="460561" y="11288"/>
                                      </a:lnTo>
                                      <a:lnTo>
                                        <a:pt x="415924" y="2879"/>
                                      </a:lnTo>
                                      <a:lnTo>
                                        <a:pt x="369569" y="0"/>
                                      </a:lnTo>
                                      <a:close/>
                                    </a:path>
                                  </a:pathLst>
                                </a:custGeom>
                                <a:solidFill>
                                  <a:srgbClr val="D9D9D9"/>
                                </a:solidFill>
                              </wps:spPr>
                              <wps:bodyPr wrap="square" lIns="0" tIns="0" rIns="0" bIns="0" rtlCol="0">
                                <a:prstTxWarp prst="textNoShape">
                                  <a:avLst/>
                                </a:prstTxWarp>
                              </wps:bodyPr>
                            </wps:wsp>
                            <wps:wsp>
                              <wps:cNvPr id="58" name="Graphic 58"/>
                              <wps:cNvSpPr/>
                              <wps:spPr>
                                <a:xfrm>
                                  <a:off x="192531" y="598496"/>
                                  <a:ext cx="55880" cy="55880"/>
                                </a:xfrm>
                                <a:custGeom>
                                  <a:avLst/>
                                  <a:gdLst/>
                                  <a:ahLst/>
                                  <a:cxnLst/>
                                  <a:rect l="l" t="t" r="r" b="b"/>
                                  <a:pathLst>
                                    <a:path w="55880" h="55880">
                                      <a:moveTo>
                                        <a:pt x="55807" y="0"/>
                                      </a:moveTo>
                                      <a:lnTo>
                                        <a:pt x="0" y="0"/>
                                      </a:lnTo>
                                      <a:lnTo>
                                        <a:pt x="0" y="55807"/>
                                      </a:lnTo>
                                      <a:lnTo>
                                        <a:pt x="55807" y="55807"/>
                                      </a:lnTo>
                                      <a:lnTo>
                                        <a:pt x="55807" y="0"/>
                                      </a:lnTo>
                                      <a:close/>
                                    </a:path>
                                  </a:pathLst>
                                </a:custGeom>
                                <a:solidFill>
                                  <a:srgbClr val="003300">
                                    <a:alpha val="50195"/>
                                  </a:srgbClr>
                                </a:solidFill>
                              </wps:spPr>
                              <wps:bodyPr wrap="square" lIns="0" tIns="0" rIns="0" bIns="0" rtlCol="0">
                                <a:prstTxWarp prst="textNoShape">
                                  <a:avLst/>
                                </a:prstTxWarp>
                              </wps:bodyPr>
                            </wps:wsp>
                            <wps:wsp>
                              <wps:cNvPr id="59" name="Graphic 59"/>
                              <wps:cNvSpPr/>
                              <wps:spPr>
                                <a:xfrm>
                                  <a:off x="192531" y="855163"/>
                                  <a:ext cx="55880" cy="55880"/>
                                </a:xfrm>
                                <a:custGeom>
                                  <a:avLst/>
                                  <a:gdLst/>
                                  <a:ahLst/>
                                  <a:cxnLst/>
                                  <a:rect l="l" t="t" r="r" b="b"/>
                                  <a:pathLst>
                                    <a:path w="55880" h="55880">
                                      <a:moveTo>
                                        <a:pt x="55807" y="0"/>
                                      </a:moveTo>
                                      <a:lnTo>
                                        <a:pt x="0" y="0"/>
                                      </a:lnTo>
                                      <a:lnTo>
                                        <a:pt x="0" y="55807"/>
                                      </a:lnTo>
                                      <a:lnTo>
                                        <a:pt x="55807" y="55807"/>
                                      </a:lnTo>
                                      <a:lnTo>
                                        <a:pt x="55807" y="0"/>
                                      </a:lnTo>
                                      <a:close/>
                                    </a:path>
                                  </a:pathLst>
                                </a:custGeom>
                                <a:solidFill>
                                  <a:srgbClr val="003300">
                                    <a:alpha val="70195"/>
                                  </a:srgbClr>
                                </a:solidFill>
                              </wps:spPr>
                              <wps:bodyPr wrap="square" lIns="0" tIns="0" rIns="0" bIns="0" rtlCol="0">
                                <a:prstTxWarp prst="textNoShape">
                                  <a:avLst/>
                                </a:prstTxWarp>
                              </wps:bodyPr>
                            </wps:wsp>
                            <wps:wsp>
                              <wps:cNvPr id="60" name="Graphic 60"/>
                              <wps:cNvSpPr/>
                              <wps:spPr>
                                <a:xfrm>
                                  <a:off x="192531" y="1111830"/>
                                  <a:ext cx="55880" cy="55880"/>
                                </a:xfrm>
                                <a:custGeom>
                                  <a:avLst/>
                                  <a:gdLst/>
                                  <a:ahLst/>
                                  <a:cxnLst/>
                                  <a:rect l="l" t="t" r="r" b="b"/>
                                  <a:pathLst>
                                    <a:path w="55880" h="55880">
                                      <a:moveTo>
                                        <a:pt x="55807" y="0"/>
                                      </a:moveTo>
                                      <a:lnTo>
                                        <a:pt x="0" y="0"/>
                                      </a:lnTo>
                                      <a:lnTo>
                                        <a:pt x="0" y="55807"/>
                                      </a:lnTo>
                                      <a:lnTo>
                                        <a:pt x="55807" y="55807"/>
                                      </a:lnTo>
                                      <a:lnTo>
                                        <a:pt x="55807" y="0"/>
                                      </a:lnTo>
                                      <a:close/>
                                    </a:path>
                                  </a:pathLst>
                                </a:custGeom>
                                <a:solidFill>
                                  <a:srgbClr val="003300"/>
                                </a:solidFill>
                              </wps:spPr>
                              <wps:bodyPr wrap="square" lIns="0" tIns="0" rIns="0" bIns="0" rtlCol="0">
                                <a:prstTxWarp prst="textNoShape">
                                  <a:avLst/>
                                </a:prstTxWarp>
                              </wps:bodyPr>
                            </wps:wsp>
                            <wps:wsp>
                              <wps:cNvPr id="61" name="Graphic 61"/>
                              <wps:cNvSpPr/>
                              <wps:spPr>
                                <a:xfrm>
                                  <a:off x="192531" y="1368370"/>
                                  <a:ext cx="55880" cy="55880"/>
                                </a:xfrm>
                                <a:custGeom>
                                  <a:avLst/>
                                  <a:gdLst/>
                                  <a:ahLst/>
                                  <a:cxnLst/>
                                  <a:rect l="l" t="t" r="r" b="b"/>
                                  <a:pathLst>
                                    <a:path w="55880" h="55880">
                                      <a:moveTo>
                                        <a:pt x="55807" y="0"/>
                                      </a:moveTo>
                                      <a:lnTo>
                                        <a:pt x="0" y="0"/>
                                      </a:lnTo>
                                      <a:lnTo>
                                        <a:pt x="0" y="55807"/>
                                      </a:lnTo>
                                      <a:lnTo>
                                        <a:pt x="55807" y="55807"/>
                                      </a:lnTo>
                                      <a:lnTo>
                                        <a:pt x="55807" y="0"/>
                                      </a:lnTo>
                                      <a:close/>
                                    </a:path>
                                  </a:pathLst>
                                </a:custGeom>
                                <a:solidFill>
                                  <a:srgbClr val="D9D9D9"/>
                                </a:solidFill>
                              </wps:spPr>
                              <wps:bodyPr wrap="square" lIns="0" tIns="0" rIns="0" bIns="0" rtlCol="0">
                                <a:prstTxWarp prst="textNoShape">
                                  <a:avLst/>
                                </a:prstTxWarp>
                              </wps:bodyPr>
                            </wps:wsp>
                            <wps:wsp>
                              <wps:cNvPr id="62" name="Graphic 62"/>
                              <wps:cNvSpPr/>
                              <wps:spPr>
                                <a:xfrm>
                                  <a:off x="2648966" y="0"/>
                                  <a:ext cx="2574925" cy="1858010"/>
                                </a:xfrm>
                                <a:custGeom>
                                  <a:avLst/>
                                  <a:gdLst/>
                                  <a:ahLst/>
                                  <a:cxnLst/>
                                  <a:rect l="l" t="t" r="r" b="b"/>
                                  <a:pathLst>
                                    <a:path w="2574925" h="1858010">
                                      <a:moveTo>
                                        <a:pt x="2574924" y="0"/>
                                      </a:moveTo>
                                      <a:lnTo>
                                        <a:pt x="0" y="0"/>
                                      </a:lnTo>
                                      <a:lnTo>
                                        <a:pt x="0" y="1858010"/>
                                      </a:lnTo>
                                      <a:lnTo>
                                        <a:pt x="2574924" y="1858010"/>
                                      </a:lnTo>
                                      <a:lnTo>
                                        <a:pt x="2574924" y="0"/>
                                      </a:lnTo>
                                      <a:close/>
                                    </a:path>
                                  </a:pathLst>
                                </a:custGeom>
                                <a:solidFill>
                                  <a:srgbClr val="FFFFFF"/>
                                </a:solidFill>
                              </wps:spPr>
                              <wps:bodyPr wrap="square" lIns="0" tIns="0" rIns="0" bIns="0" rtlCol="0">
                                <a:prstTxWarp prst="textNoShape">
                                  <a:avLst/>
                                </a:prstTxWarp>
                              </wps:bodyPr>
                            </wps:wsp>
                            <wps:wsp>
                              <wps:cNvPr id="63" name="Graphic 63"/>
                              <wps:cNvSpPr/>
                              <wps:spPr>
                                <a:xfrm>
                                  <a:off x="4055236" y="583565"/>
                                  <a:ext cx="791210" cy="791210"/>
                                </a:xfrm>
                                <a:custGeom>
                                  <a:avLst/>
                                  <a:gdLst/>
                                  <a:ahLst/>
                                  <a:cxnLst/>
                                  <a:rect l="l" t="t" r="r" b="b"/>
                                  <a:pathLst>
                                    <a:path w="791210" h="791210">
                                      <a:moveTo>
                                        <a:pt x="395605" y="0"/>
                                      </a:moveTo>
                                      <a:lnTo>
                                        <a:pt x="349454" y="2660"/>
                                      </a:lnTo>
                                      <a:lnTo>
                                        <a:pt x="304871" y="10443"/>
                                      </a:lnTo>
                                      <a:lnTo>
                                        <a:pt x="262151" y="23054"/>
                                      </a:lnTo>
                                      <a:lnTo>
                                        <a:pt x="221592" y="40195"/>
                                      </a:lnTo>
                                      <a:lnTo>
                                        <a:pt x="183490" y="61571"/>
                                      </a:lnTo>
                                      <a:lnTo>
                                        <a:pt x="148140" y="86884"/>
                                      </a:lnTo>
                                      <a:lnTo>
                                        <a:pt x="115839" y="115839"/>
                                      </a:lnTo>
                                      <a:lnTo>
                                        <a:pt x="86884" y="148140"/>
                                      </a:lnTo>
                                      <a:lnTo>
                                        <a:pt x="61571" y="183490"/>
                                      </a:lnTo>
                                      <a:lnTo>
                                        <a:pt x="40195" y="221592"/>
                                      </a:lnTo>
                                      <a:lnTo>
                                        <a:pt x="23054" y="262151"/>
                                      </a:lnTo>
                                      <a:lnTo>
                                        <a:pt x="10443" y="304871"/>
                                      </a:lnTo>
                                      <a:lnTo>
                                        <a:pt x="2660" y="349454"/>
                                      </a:lnTo>
                                      <a:lnTo>
                                        <a:pt x="0" y="395605"/>
                                      </a:lnTo>
                                      <a:lnTo>
                                        <a:pt x="2660" y="441730"/>
                                      </a:lnTo>
                                      <a:lnTo>
                                        <a:pt x="10443" y="486291"/>
                                      </a:lnTo>
                                      <a:lnTo>
                                        <a:pt x="23054" y="528992"/>
                                      </a:lnTo>
                                      <a:lnTo>
                                        <a:pt x="40195" y="569536"/>
                                      </a:lnTo>
                                      <a:lnTo>
                                        <a:pt x="61571" y="607626"/>
                                      </a:lnTo>
                                      <a:lnTo>
                                        <a:pt x="86884" y="642966"/>
                                      </a:lnTo>
                                      <a:lnTo>
                                        <a:pt x="115839" y="675259"/>
                                      </a:lnTo>
                                      <a:lnTo>
                                        <a:pt x="148140" y="704208"/>
                                      </a:lnTo>
                                      <a:lnTo>
                                        <a:pt x="183490" y="729517"/>
                                      </a:lnTo>
                                      <a:lnTo>
                                        <a:pt x="221592" y="750890"/>
                                      </a:lnTo>
                                      <a:lnTo>
                                        <a:pt x="262151" y="768029"/>
                                      </a:lnTo>
                                      <a:lnTo>
                                        <a:pt x="304871" y="780639"/>
                                      </a:lnTo>
                                      <a:lnTo>
                                        <a:pt x="349454" y="788422"/>
                                      </a:lnTo>
                                      <a:lnTo>
                                        <a:pt x="395605" y="791083"/>
                                      </a:lnTo>
                                      <a:lnTo>
                                        <a:pt x="441732" y="788422"/>
                                      </a:lnTo>
                                      <a:lnTo>
                                        <a:pt x="486298" y="780639"/>
                                      </a:lnTo>
                                      <a:lnTo>
                                        <a:pt x="529007" y="768029"/>
                                      </a:lnTo>
                                      <a:lnTo>
                                        <a:pt x="569561" y="750890"/>
                                      </a:lnTo>
                                      <a:lnTo>
                                        <a:pt x="607663" y="729517"/>
                                      </a:lnTo>
                                      <a:lnTo>
                                        <a:pt x="643016" y="704208"/>
                                      </a:lnTo>
                                      <a:lnTo>
                                        <a:pt x="675322" y="675259"/>
                                      </a:lnTo>
                                      <a:lnTo>
                                        <a:pt x="704285" y="642966"/>
                                      </a:lnTo>
                                      <a:lnTo>
                                        <a:pt x="729607" y="607626"/>
                                      </a:lnTo>
                                      <a:lnTo>
                                        <a:pt x="750992" y="569536"/>
                                      </a:lnTo>
                                      <a:lnTo>
                                        <a:pt x="768141" y="528992"/>
                                      </a:lnTo>
                                      <a:lnTo>
                                        <a:pt x="780759" y="486291"/>
                                      </a:lnTo>
                                      <a:lnTo>
                                        <a:pt x="788547" y="441730"/>
                                      </a:lnTo>
                                      <a:lnTo>
                                        <a:pt x="791210" y="395605"/>
                                      </a:lnTo>
                                      <a:lnTo>
                                        <a:pt x="395605" y="395605"/>
                                      </a:lnTo>
                                      <a:lnTo>
                                        <a:pt x="395605" y="0"/>
                                      </a:lnTo>
                                      <a:close/>
                                    </a:path>
                                    <a:path w="791210" h="791210">
                                      <a:moveTo>
                                        <a:pt x="395605" y="0"/>
                                      </a:moveTo>
                                      <a:lnTo>
                                        <a:pt x="395605" y="395605"/>
                                      </a:lnTo>
                                      <a:lnTo>
                                        <a:pt x="791210" y="395605"/>
                                      </a:lnTo>
                                      <a:lnTo>
                                        <a:pt x="788547" y="349454"/>
                                      </a:lnTo>
                                      <a:lnTo>
                                        <a:pt x="780759" y="304871"/>
                                      </a:lnTo>
                                      <a:lnTo>
                                        <a:pt x="768141" y="262151"/>
                                      </a:lnTo>
                                      <a:lnTo>
                                        <a:pt x="750992" y="221592"/>
                                      </a:lnTo>
                                      <a:lnTo>
                                        <a:pt x="729607" y="183490"/>
                                      </a:lnTo>
                                      <a:lnTo>
                                        <a:pt x="704285" y="148140"/>
                                      </a:lnTo>
                                      <a:lnTo>
                                        <a:pt x="675322" y="115839"/>
                                      </a:lnTo>
                                      <a:lnTo>
                                        <a:pt x="643016" y="86884"/>
                                      </a:lnTo>
                                      <a:lnTo>
                                        <a:pt x="607663" y="61571"/>
                                      </a:lnTo>
                                      <a:lnTo>
                                        <a:pt x="569561" y="40195"/>
                                      </a:lnTo>
                                      <a:lnTo>
                                        <a:pt x="529007" y="23054"/>
                                      </a:lnTo>
                                      <a:lnTo>
                                        <a:pt x="486298" y="10443"/>
                                      </a:lnTo>
                                      <a:lnTo>
                                        <a:pt x="441732" y="2660"/>
                                      </a:lnTo>
                                      <a:lnTo>
                                        <a:pt x="395605" y="0"/>
                                      </a:lnTo>
                                      <a:close/>
                                    </a:path>
                                  </a:pathLst>
                                </a:custGeom>
                                <a:solidFill>
                                  <a:srgbClr val="D9D9D9"/>
                                </a:solidFill>
                              </wps:spPr>
                              <wps:bodyPr wrap="square" lIns="0" tIns="0" rIns="0" bIns="0" rtlCol="0">
                                <a:prstTxWarp prst="textNoShape">
                                  <a:avLst/>
                                </a:prstTxWarp>
                              </wps:bodyPr>
                            </wps:wsp>
                            <wps:wsp>
                              <wps:cNvPr id="64" name="Graphic 64"/>
                              <wps:cNvSpPr/>
                              <wps:spPr>
                                <a:xfrm>
                                  <a:off x="2784094" y="526192"/>
                                  <a:ext cx="55880" cy="55880"/>
                                </a:xfrm>
                                <a:custGeom>
                                  <a:avLst/>
                                  <a:gdLst/>
                                  <a:ahLst/>
                                  <a:cxnLst/>
                                  <a:rect l="l" t="t" r="r" b="b"/>
                                  <a:pathLst>
                                    <a:path w="55880" h="55880">
                                      <a:moveTo>
                                        <a:pt x="55721" y="0"/>
                                      </a:moveTo>
                                      <a:lnTo>
                                        <a:pt x="0" y="0"/>
                                      </a:lnTo>
                                      <a:lnTo>
                                        <a:pt x="0" y="55721"/>
                                      </a:lnTo>
                                      <a:lnTo>
                                        <a:pt x="55721" y="55721"/>
                                      </a:lnTo>
                                      <a:lnTo>
                                        <a:pt x="55721" y="0"/>
                                      </a:lnTo>
                                      <a:close/>
                                    </a:path>
                                  </a:pathLst>
                                </a:custGeom>
                                <a:solidFill>
                                  <a:srgbClr val="003300">
                                    <a:alpha val="50195"/>
                                  </a:srgbClr>
                                </a:solidFill>
                              </wps:spPr>
                              <wps:bodyPr wrap="square" lIns="0" tIns="0" rIns="0" bIns="0" rtlCol="0">
                                <a:prstTxWarp prst="textNoShape">
                                  <a:avLst/>
                                </a:prstTxWarp>
                              </wps:bodyPr>
                            </wps:wsp>
                            <wps:wsp>
                              <wps:cNvPr id="65" name="Graphic 65"/>
                              <wps:cNvSpPr/>
                              <wps:spPr>
                                <a:xfrm>
                                  <a:off x="2784094" y="802036"/>
                                  <a:ext cx="55880" cy="55880"/>
                                </a:xfrm>
                                <a:custGeom>
                                  <a:avLst/>
                                  <a:gdLst/>
                                  <a:ahLst/>
                                  <a:cxnLst/>
                                  <a:rect l="l" t="t" r="r" b="b"/>
                                  <a:pathLst>
                                    <a:path w="55880" h="55880">
                                      <a:moveTo>
                                        <a:pt x="55721" y="0"/>
                                      </a:moveTo>
                                      <a:lnTo>
                                        <a:pt x="0" y="0"/>
                                      </a:lnTo>
                                      <a:lnTo>
                                        <a:pt x="0" y="55721"/>
                                      </a:lnTo>
                                      <a:lnTo>
                                        <a:pt x="55721" y="55721"/>
                                      </a:lnTo>
                                      <a:lnTo>
                                        <a:pt x="55721" y="0"/>
                                      </a:lnTo>
                                      <a:close/>
                                    </a:path>
                                  </a:pathLst>
                                </a:custGeom>
                                <a:solidFill>
                                  <a:srgbClr val="003300">
                                    <a:alpha val="70195"/>
                                  </a:srgbClr>
                                </a:solidFill>
                              </wps:spPr>
                              <wps:bodyPr wrap="square" lIns="0" tIns="0" rIns="0" bIns="0" rtlCol="0">
                                <a:prstTxWarp prst="textNoShape">
                                  <a:avLst/>
                                </a:prstTxWarp>
                              </wps:bodyPr>
                            </wps:wsp>
                            <wps:wsp>
                              <wps:cNvPr id="66" name="Graphic 66"/>
                              <wps:cNvSpPr/>
                              <wps:spPr>
                                <a:xfrm>
                                  <a:off x="2784094" y="1078007"/>
                                  <a:ext cx="55880" cy="55880"/>
                                </a:xfrm>
                                <a:custGeom>
                                  <a:avLst/>
                                  <a:gdLst/>
                                  <a:ahLst/>
                                  <a:cxnLst/>
                                  <a:rect l="l" t="t" r="r" b="b"/>
                                  <a:pathLst>
                                    <a:path w="55880" h="55880">
                                      <a:moveTo>
                                        <a:pt x="55721" y="0"/>
                                      </a:moveTo>
                                      <a:lnTo>
                                        <a:pt x="0" y="0"/>
                                      </a:lnTo>
                                      <a:lnTo>
                                        <a:pt x="0" y="55721"/>
                                      </a:lnTo>
                                      <a:lnTo>
                                        <a:pt x="55721" y="55721"/>
                                      </a:lnTo>
                                      <a:lnTo>
                                        <a:pt x="55721" y="0"/>
                                      </a:lnTo>
                                      <a:close/>
                                    </a:path>
                                  </a:pathLst>
                                </a:custGeom>
                                <a:solidFill>
                                  <a:srgbClr val="003300"/>
                                </a:solidFill>
                              </wps:spPr>
                              <wps:bodyPr wrap="square" lIns="0" tIns="0" rIns="0" bIns="0" rtlCol="0">
                                <a:prstTxWarp prst="textNoShape">
                                  <a:avLst/>
                                </a:prstTxWarp>
                              </wps:bodyPr>
                            </wps:wsp>
                            <wps:wsp>
                              <wps:cNvPr id="67" name="Graphic 67"/>
                              <wps:cNvSpPr/>
                              <wps:spPr>
                                <a:xfrm>
                                  <a:off x="2784094" y="1353851"/>
                                  <a:ext cx="55880" cy="55880"/>
                                </a:xfrm>
                                <a:custGeom>
                                  <a:avLst/>
                                  <a:gdLst/>
                                  <a:ahLst/>
                                  <a:cxnLst/>
                                  <a:rect l="l" t="t" r="r" b="b"/>
                                  <a:pathLst>
                                    <a:path w="55880" h="55880">
                                      <a:moveTo>
                                        <a:pt x="55721" y="0"/>
                                      </a:moveTo>
                                      <a:lnTo>
                                        <a:pt x="0" y="0"/>
                                      </a:lnTo>
                                      <a:lnTo>
                                        <a:pt x="0" y="55721"/>
                                      </a:lnTo>
                                      <a:lnTo>
                                        <a:pt x="55721" y="55721"/>
                                      </a:lnTo>
                                      <a:lnTo>
                                        <a:pt x="55721" y="0"/>
                                      </a:lnTo>
                                      <a:close/>
                                    </a:path>
                                  </a:pathLst>
                                </a:custGeom>
                                <a:solidFill>
                                  <a:srgbClr val="D9D9D9"/>
                                </a:solidFill>
                              </wps:spPr>
                              <wps:bodyPr wrap="square" lIns="0" tIns="0" rIns="0" bIns="0" rtlCol="0">
                                <a:prstTxWarp prst="textNoShape">
                                  <a:avLst/>
                                </a:prstTxWarp>
                              </wps:bodyPr>
                            </wps:wsp>
                          </wpg:wgp>
                        </a:graphicData>
                      </a:graphic>
                    </wp:anchor>
                  </w:drawing>
                </mc:Choice>
                <mc:Fallback>
                  <w:pict>
                    <v:group w14:anchorId="28DACF77" id="Group 54" o:spid="_x0000_s1026" style="position:absolute;margin-left:.25pt;margin-top:23.5pt;width:424.65pt;height:185.9pt;z-index:-251637760;mso-wrap-distance-left:0;mso-wrap-distance-right:0" coordsize="53930,236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">
                      <v:shape id="Graphic 55" o:spid="_x0000_s1027" style="position:absolute;top:6;width:53930;height:23603;visibility:visible;mso-wrap-style:square;v-text-anchor:top" coordsize="5393055,2360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" path="m5392928,l,,,2359914r5392928,l5392928,xe" fillcolor="#f9e1d4" stroked="f">
                        <v:path arrowok="t"/>
                      </v:shape>
                      <v:shape id="Graphic 56" o:spid="_x0000_s1028" style="position:absolute;left:651;top:146;width:24213;height:18434;visibility:visible;mso-wrap-style:square;v-text-anchor:top" coordsize="2421255,1843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" path="m2421255,l,,,1843405r2421255,l2421255,xe" stroked="f">
                        <v:path arrowok="t"/>
                      </v:shape>
                      <v:shape id="Graphic 57" o:spid="_x0000_s1029" style="position:absolute;left:14175;top:6784;width:7392;height:7391;visibility:visible;mso-wrap-style:square;v-text-anchor:top" coordsize="739140,739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" path="m369569,l323215,2879r-44637,8409l236004,24878,195841,43304,158434,66219,124131,93277,93277,124131,66219,158434,43304,195841,24878,236004,11288,278578,2879,323215,,369569r2879,46355l11288,460561r13590,42574l43304,543298r22915,37407l93277,615008r30854,30854l158434,672920r37407,22915l236004,714261r42574,13590l323215,736260r46354,2879l415924,736260r44637,-8409l503135,714261r40163,-18426l580705,672920r34303,-27058l645862,615008r27058,-34303l695835,543298r18426,-40163l727851,460561r8409,-44637l739140,369569r-369571,l369569,xem369569,r,369569l739140,369569r-2880,-46354l727851,278578,714261,236004,695835,195841,672920,158434,645862,124131,615008,93277,580705,66219,543298,43304,503135,24878,460561,11288,415924,2879,369569,xe" fillcolor="#d9d9d9" stroked="f">
                        <v:path arrowok="t"/>
                      </v:shape>
                      <v:shape id="Graphic 58" o:spid="_x0000_s1030" style="position:absolute;left:1925;top:5984;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" path="m55807,l,,,55807r55807,l55807,xe" fillcolor="#030" stroked="f">
                        <v:fill opacity="32896f"/>
                        <v:path arrowok="t"/>
                      </v:shape>
                      <v:shape id="Graphic 59" o:spid="_x0000_s1031" style="position:absolute;left:1925;top:8551;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" path="m55807,l,,,55807r55807,l55807,xe" fillcolor="#030" stroked="f">
                        <v:fill opacity="46003f"/>
                        <v:path arrowok="t"/>
                      </v:shape>
                      <v:shape id="Graphic 60" o:spid="_x0000_s1032" style="position:absolute;left:1925;top:11118;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" path="m55807,l,,,55807r55807,l55807,xe" fillcolor="#030" stroked="f">
                        <v:path arrowok="t"/>
                      </v:shape>
                      <v:shape id="Graphic 61" o:spid="_x0000_s1033" style="position:absolute;left:1925;top:13683;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" path="m55807,l,,,55807r55807,l55807,xe" fillcolor="#d9d9d9" stroked="f">
                        <v:path arrowok="t"/>
                      </v:shape>
                      <v:shape id="Graphic 62" o:spid="_x0000_s1034" style="position:absolute;left:26489;width:25749;height:18580;visibility:visible;mso-wrap-style:square;v-text-anchor:top" coordsize="2574925,1858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" path="m2574924,l,,,1858010r2574924,l2574924,xe" stroked="f">
                        <v:path arrowok="t"/>
                      </v:shape>
                      <v:shape id="Graphic 63" o:spid="_x0000_s1035" style="position:absolute;left:40552;top:5835;width:7912;height:7912;visibility:visible;mso-wrap-style:square;v-text-anchor:top" coordsize="791210,79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" path="m395605,l349454,2660r-44583,7783l262151,23054,221592,40195,183490,61571,148140,86884r-32301,28955l86884,148140,61571,183490,40195,221592,23054,262151,10443,304871,2660,349454,,395605r2660,46125l10443,486291r12611,42701l40195,569536r21376,38090l86884,642966r28955,32293l148140,704208r35350,25309l221592,750890r40559,17139l304871,780639r44583,7783l395605,791083r46127,-2661l486298,780639r42709,-12610l569561,750890r38102,-21373l643016,704208r32306,-28949l704285,642966r25322,-35340l750992,569536r17149,-40544l780759,486291r7788,-44561l791210,395605r-395605,l395605,xem395605,r,395605l791210,395605r-2663,-46151l780759,304871,768141,262151,750992,221592,729607,183490,704285,148140,675322,115839,643016,86884,607663,61571,569561,40195,529007,23054,486298,10443,441732,2660,395605,xe" fillcolor="#d9d9d9" stroked="f">
                        <v:path arrowok="t"/>
                      </v:shape>
                      <v:shape id="Graphic 64" o:spid="_x0000_s1036" style="position:absolute;left:27840;top:5261;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" path="m55721,l,,,55721r55721,l55721,xe" fillcolor="#030" stroked="f">
                        <v:fill opacity="32896f"/>
                        <v:path arrowok="t"/>
                      </v:shape>
                      <v:shape id="Graphic 65" o:spid="_x0000_s1037" style="position:absolute;left:27840;top:8020;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" path="m55721,l,,,55721r55721,l55721,xe" fillcolor="#030" stroked="f">
                        <v:fill opacity="46003f"/>
                        <v:path arrowok="t"/>
                      </v:shape>
                      <v:shape id="Graphic 66" o:spid="_x0000_s1038" style="position:absolute;left:27840;top:10780;width:559;height:558;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" path="m55721,l,,,55721r55721,l55721,xe" fillcolor="#030" stroked="f">
                        <v:path arrowok="t"/>
                      </v:shape>
                      <v:shape id="Graphic 67" o:spid="_x0000_s1039" style="position:absolute;left:27840;top:13538;width:559;height:559;visibility:visible;mso-wrap-style:square;v-text-anchor:top" coordsize="55880,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" path="m55721,l,,,55721r55721,l55721,xe" fillcolor="#d9d9d9" stroked="f">
                        <v:path arrowok="t"/>
                      </v:shape>
                    </v:group>
                  </w:pict>
                </mc:Fallback>
              </mc:AlternateContent>
            </w:r>
            <w:r>
              <w:rPr>
                <w:b/>
                <w:i/>
                <w:sz w:val="18"/>
              </w:rPr>
              <w:t>, mentre il secondo grafico mostra l’allineamento alla tassonomia solo in relazione agli investimenti del prodotto finanziario diversi dai titoli di Stato.</w:t>
            </w:r>
          </w:p>
        </w:tc>
      </w:tr>
      <w:tr w:rsidR="00C47BC8" w14:paraId="247571B8" w14:textId="77777777">
        <w:trPr>
          <w:trHeight w:hRule="exact" w:val="753"/>
        </w:trPr>
        <w:tc>
          <w:tcPr>
            <w:tcW w:w="2440" w:type="dxa"/>
            <w:vMerge/>
            <w:tcBorders>
              <w:top w:val="nil"/>
              <w:left w:val="nil"/>
              <w:bottom w:val="nil"/>
            </w:tcBorders>
            <w:shd w:val="clear" w:color="auto" w:fill="D9D9D9"/>
          </w:tcPr>
          <w:p w14:paraId="3D5D61C1" w14:textId="77777777" w:rsidR="00C47BC8" w:rsidRDefault="00C47BC8">
            <w:pPr>
              <w:rPr>
                <w:sz w:val="2"/>
                <w:szCs w:val="2"/>
              </w:rPr>
            </w:pPr>
          </w:p>
        </w:tc>
        <w:tc>
          <w:tcPr>
            <w:tcW w:w="408" w:type="dxa"/>
            <w:vMerge w:val="restart"/>
          </w:tcPr>
          <w:p w14:paraId="427C0187" w14:textId="77777777" w:rsidR="00C47BC8" w:rsidRDefault="00C47BC8">
            <w:pPr>
              <w:pStyle w:val="TableParagraph"/>
              <w:rPr>
                <w:rFonts w:ascii="Times New Roman"/>
                <w:sz w:val="18"/>
              </w:rPr>
            </w:pPr>
          </w:p>
        </w:tc>
        <w:tc>
          <w:tcPr>
            <w:tcW w:w="107" w:type="dxa"/>
            <w:vMerge w:val="restart"/>
            <w:tcBorders>
              <w:bottom w:val="nil"/>
              <w:right w:val="single" w:sz="6" w:space="0" w:color="D9D9D9"/>
            </w:tcBorders>
            <w:shd w:val="clear" w:color="auto" w:fill="F9E1D4"/>
          </w:tcPr>
          <w:p w14:paraId="2A537EC5" w14:textId="77777777" w:rsidR="00C47BC8" w:rsidRDefault="00C47BC8">
            <w:pPr>
              <w:pStyle w:val="TableParagraph"/>
              <w:rPr>
                <w:rFonts w:ascii="Times New Roman"/>
                <w:sz w:val="18"/>
              </w:rPr>
            </w:pPr>
          </w:p>
        </w:tc>
        <w:tc>
          <w:tcPr>
            <w:tcW w:w="3812" w:type="dxa"/>
            <w:gridSpan w:val="2"/>
            <w:tcBorders>
              <w:top w:val="single" w:sz="4" w:space="0" w:color="D9D9D9"/>
              <w:left w:val="single" w:sz="6" w:space="0" w:color="D9D9D9"/>
              <w:bottom w:val="nil"/>
              <w:right w:val="single" w:sz="6" w:space="0" w:color="D9D9D9"/>
            </w:tcBorders>
          </w:tcPr>
          <w:p w14:paraId="60332687" w14:textId="77777777" w:rsidR="00C47BC8" w:rsidRDefault="00606574">
            <w:pPr>
              <w:pStyle w:val="TableParagraph"/>
              <w:spacing w:before="148"/>
              <w:ind w:left="1" w:right="243"/>
              <w:jc w:val="center"/>
              <w:rPr>
                <w:rFonts w:ascii="Calibri"/>
                <w:sz w:val="16"/>
              </w:rPr>
            </w:pPr>
            <w:r>
              <w:rPr>
                <w:rFonts w:ascii="Calibri"/>
                <w:color w:val="585858"/>
                <w:spacing w:val="-2"/>
                <w:w w:val="105"/>
                <w:sz w:val="14"/>
              </w:rPr>
              <w:t>1. Allineamento alla tassonomia degli investimenti</w:t>
            </w:r>
          </w:p>
          <w:p w14:paraId="2559F684" w14:textId="77777777" w:rsidR="00C47BC8" w:rsidRDefault="00606574">
            <w:pPr>
              <w:pStyle w:val="TableParagraph"/>
              <w:spacing w:before="1"/>
              <w:ind w:right="243"/>
              <w:jc w:val="center"/>
              <w:rPr>
                <w:rFonts w:ascii="Calibri"/>
                <w:b/>
                <w:sz w:val="16"/>
              </w:rPr>
            </w:pPr>
            <w:r>
              <w:rPr>
                <w:rFonts w:ascii="Calibri"/>
                <w:b/>
                <w:color w:val="585858"/>
                <w:spacing w:val="-2"/>
                <w:w w:val="110"/>
                <w:sz w:val="14"/>
              </w:rPr>
              <w:t>compresi i titoli di Stato*</w:t>
            </w:r>
          </w:p>
        </w:tc>
        <w:tc>
          <w:tcPr>
            <w:tcW w:w="256" w:type="dxa"/>
            <w:vMerge w:val="restart"/>
            <w:tcBorders>
              <w:left w:val="single" w:sz="6" w:space="0" w:color="D9D9D9"/>
              <w:bottom w:val="nil"/>
              <w:right w:val="single" w:sz="6" w:space="0" w:color="D9D9D9"/>
            </w:tcBorders>
            <w:shd w:val="clear" w:color="auto" w:fill="F9E1D4"/>
          </w:tcPr>
          <w:p w14:paraId="0752E7E5" w14:textId="77777777" w:rsidR="00C47BC8" w:rsidRDefault="00C47BC8">
            <w:pPr>
              <w:pStyle w:val="TableParagraph"/>
              <w:rPr>
                <w:rFonts w:ascii="Times New Roman"/>
                <w:sz w:val="18"/>
              </w:rPr>
            </w:pPr>
          </w:p>
        </w:tc>
        <w:tc>
          <w:tcPr>
            <w:tcW w:w="4055" w:type="dxa"/>
            <w:tcBorders>
              <w:left w:val="single" w:sz="6" w:space="0" w:color="D9D9D9"/>
              <w:bottom w:val="nil"/>
              <w:right w:val="single" w:sz="6" w:space="0" w:color="D9D9D9"/>
            </w:tcBorders>
          </w:tcPr>
          <w:p w14:paraId="1296E9AD" w14:textId="77777777" w:rsidR="00C47BC8" w:rsidRDefault="00606574">
            <w:pPr>
              <w:pStyle w:val="TableParagraph"/>
              <w:spacing w:before="36"/>
              <w:ind w:left="702"/>
              <w:jc w:val="center"/>
              <w:rPr>
                <w:rFonts w:ascii="Calibri"/>
                <w:sz w:val="16"/>
              </w:rPr>
            </w:pPr>
            <w:r>
              <w:rPr>
                <w:rFonts w:ascii="Calibri"/>
                <w:color w:val="585858"/>
                <w:spacing w:val="-2"/>
                <w:w w:val="105"/>
                <w:sz w:val="14"/>
              </w:rPr>
              <w:t>2. Allineamento alla tassonomia degli investimenti</w:t>
            </w:r>
          </w:p>
          <w:p w14:paraId="428F4F24" w14:textId="77777777" w:rsidR="00C47BC8" w:rsidRDefault="00606574">
            <w:pPr>
              <w:pStyle w:val="TableParagraph"/>
              <w:spacing w:before="1"/>
              <w:ind w:left="702"/>
              <w:jc w:val="center"/>
              <w:rPr>
                <w:rFonts w:ascii="Calibri"/>
                <w:b/>
                <w:sz w:val="16"/>
              </w:rPr>
            </w:pPr>
            <w:r>
              <w:rPr>
                <w:rFonts w:ascii="Calibri"/>
                <w:b/>
                <w:color w:val="585858"/>
                <w:spacing w:val="-2"/>
                <w:w w:val="110"/>
                <w:sz w:val="14"/>
              </w:rPr>
              <w:t>esclusi i titoli di Stato*</w:t>
            </w:r>
          </w:p>
        </w:tc>
        <w:tc>
          <w:tcPr>
            <w:tcW w:w="266" w:type="dxa"/>
            <w:vMerge w:val="restart"/>
            <w:tcBorders>
              <w:left w:val="single" w:sz="6" w:space="0" w:color="D9D9D9"/>
              <w:bottom w:val="nil"/>
              <w:right w:val="nil"/>
            </w:tcBorders>
            <w:shd w:val="clear" w:color="auto" w:fill="F9E1D4"/>
          </w:tcPr>
          <w:p w14:paraId="0EDBE1E3" w14:textId="77777777" w:rsidR="00C47BC8" w:rsidRDefault="00C47BC8">
            <w:pPr>
              <w:pStyle w:val="TableParagraph"/>
              <w:rPr>
                <w:rFonts w:ascii="Times New Roman"/>
                <w:sz w:val="18"/>
              </w:rPr>
            </w:pPr>
          </w:p>
        </w:tc>
      </w:tr>
      <w:tr w:rsidR="00C47BC8" w14:paraId="16F78D12" w14:textId="77777777">
        <w:trPr>
          <w:trHeight w:hRule="exact" w:val="2177"/>
        </w:trPr>
        <w:tc>
          <w:tcPr>
            <w:tcW w:w="2440" w:type="dxa"/>
            <w:tcBorders>
              <w:top w:val="nil"/>
              <w:left w:val="nil"/>
              <w:bottom w:val="nil"/>
            </w:tcBorders>
            <w:shd w:val="clear" w:color="auto" w:fill="D9D9D9"/>
          </w:tcPr>
          <w:p w14:paraId="489878C9" w14:textId="77777777" w:rsidR="00C47BC8" w:rsidRDefault="00C47BC8">
            <w:pPr>
              <w:pStyle w:val="TableParagraph"/>
              <w:rPr>
                <w:rFonts w:ascii="Times New Roman"/>
                <w:sz w:val="18"/>
              </w:rPr>
            </w:pPr>
          </w:p>
        </w:tc>
        <w:tc>
          <w:tcPr>
            <w:tcW w:w="408" w:type="dxa"/>
            <w:vMerge/>
            <w:tcBorders>
              <w:top w:val="nil"/>
            </w:tcBorders>
          </w:tcPr>
          <w:p w14:paraId="1C5E81CD" w14:textId="77777777" w:rsidR="00C47BC8" w:rsidRDefault="00C47BC8">
            <w:pPr>
              <w:rPr>
                <w:sz w:val="2"/>
                <w:szCs w:val="2"/>
              </w:rPr>
            </w:pPr>
          </w:p>
        </w:tc>
        <w:tc>
          <w:tcPr>
            <w:tcW w:w="107" w:type="dxa"/>
            <w:vMerge/>
            <w:tcBorders>
              <w:top w:val="nil"/>
              <w:bottom w:val="nil"/>
              <w:right w:val="single" w:sz="6" w:space="0" w:color="D9D9D9"/>
            </w:tcBorders>
            <w:shd w:val="clear" w:color="auto" w:fill="F9E1D4"/>
          </w:tcPr>
          <w:p w14:paraId="70A65396" w14:textId="77777777" w:rsidR="00C47BC8" w:rsidRDefault="00C47BC8">
            <w:pPr>
              <w:rPr>
                <w:sz w:val="2"/>
                <w:szCs w:val="2"/>
              </w:rPr>
            </w:pPr>
          </w:p>
        </w:tc>
        <w:tc>
          <w:tcPr>
            <w:tcW w:w="3812" w:type="dxa"/>
            <w:gridSpan w:val="2"/>
            <w:tcBorders>
              <w:top w:val="nil"/>
              <w:left w:val="single" w:sz="6" w:space="0" w:color="D9D9D9"/>
              <w:bottom w:val="single" w:sz="6" w:space="0" w:color="D9D9D9"/>
              <w:right w:val="single" w:sz="6" w:space="0" w:color="D9D9D9"/>
            </w:tcBorders>
          </w:tcPr>
          <w:p w14:paraId="37E19196" w14:textId="77777777" w:rsidR="00C47BC8" w:rsidRDefault="00606574">
            <w:pPr>
              <w:pStyle w:val="TableParagraph"/>
              <w:spacing w:before="129"/>
              <w:ind w:left="317"/>
              <w:rPr>
                <w:rFonts w:ascii="Calibri"/>
                <w:sz w:val="16"/>
              </w:rPr>
            </w:pPr>
            <w:r>
              <w:rPr>
                <w:rFonts w:ascii="Calibri"/>
                <w:color w:val="585858"/>
                <w:sz w:val="14"/>
              </w:rPr>
              <w:t>Allineati alla tassonomia:</w:t>
            </w:r>
          </w:p>
          <w:p w14:paraId="639AF724" w14:textId="77777777" w:rsidR="00C47BC8" w:rsidRDefault="00606574">
            <w:pPr>
              <w:pStyle w:val="TableParagraph"/>
              <w:spacing w:line="256" w:lineRule="auto"/>
              <w:ind w:left="317" w:right="2168"/>
              <w:rPr>
                <w:rFonts w:ascii="Calibri"/>
                <w:sz w:val="16"/>
              </w:rPr>
            </w:pPr>
            <w:r>
              <w:rPr>
                <w:rFonts w:ascii="Calibri"/>
                <w:color w:val="585858"/>
                <w:spacing w:val="-2"/>
                <w:w w:val="105"/>
                <w:sz w:val="14"/>
              </w:rPr>
              <w:t>Gas fossile Allineato alla tassonomia:</w:t>
            </w:r>
          </w:p>
          <w:p w14:paraId="4B07FD24" w14:textId="77777777" w:rsidR="00C47BC8" w:rsidRDefault="00606574">
            <w:pPr>
              <w:pStyle w:val="TableParagraph"/>
              <w:tabs>
                <w:tab w:val="left" w:pos="2470"/>
              </w:tabs>
              <w:spacing w:line="181" w:lineRule="exact"/>
              <w:ind w:left="317"/>
              <w:rPr>
                <w:rFonts w:ascii="Calibri"/>
                <w:position w:val="2"/>
                <w:sz w:val="16"/>
              </w:rPr>
            </w:pPr>
            <w:r>
              <w:rPr>
                <w:rFonts w:ascii="Calibri"/>
                <w:color w:val="585858"/>
                <w:spacing w:val="-2"/>
                <w:w w:val="110"/>
                <w:sz w:val="14"/>
              </w:rPr>
              <w:t>Nucleare</w:t>
            </w:r>
            <w:r>
              <w:rPr>
                <w:rFonts w:ascii="Calibri"/>
                <w:color w:val="585858"/>
                <w:sz w:val="14"/>
              </w:rPr>
              <w:tab/>
            </w:r>
            <w:r>
              <w:rPr>
                <w:rFonts w:ascii="Calibri"/>
                <w:color w:val="404040"/>
                <w:spacing w:val="-4"/>
                <w:w w:val="110"/>
                <w:position w:val="2"/>
                <w:sz w:val="14"/>
              </w:rPr>
              <w:t>100%</w:t>
            </w:r>
          </w:p>
          <w:p w14:paraId="0C87187C" w14:textId="77777777" w:rsidR="00C47BC8" w:rsidRDefault="00606574">
            <w:pPr>
              <w:pStyle w:val="TableParagraph"/>
              <w:spacing w:before="14" w:line="249" w:lineRule="auto"/>
              <w:ind w:left="317" w:right="1887"/>
              <w:rPr>
                <w:rFonts w:ascii="Calibri"/>
                <w:sz w:val="16"/>
              </w:rPr>
            </w:pPr>
            <w:r>
              <w:rPr>
                <w:rFonts w:ascii="Calibri"/>
                <w:color w:val="585858"/>
                <w:w w:val="105"/>
                <w:sz w:val="14"/>
              </w:rPr>
              <w:t>In linea con la tassonomia (senza gas fossile, C nucleare) Non in linea con la tassonomia</w:t>
            </w:r>
          </w:p>
        </w:tc>
        <w:tc>
          <w:tcPr>
            <w:tcW w:w="256" w:type="dxa"/>
            <w:vMerge/>
            <w:tcBorders>
              <w:top w:val="nil"/>
              <w:left w:val="single" w:sz="6" w:space="0" w:color="D9D9D9"/>
              <w:bottom w:val="nil"/>
              <w:right w:val="single" w:sz="6" w:space="0" w:color="D9D9D9"/>
            </w:tcBorders>
            <w:shd w:val="clear" w:color="auto" w:fill="F9E1D4"/>
          </w:tcPr>
          <w:p w14:paraId="35C30EAF" w14:textId="77777777" w:rsidR="00C47BC8" w:rsidRDefault="00C47BC8">
            <w:pPr>
              <w:rPr>
                <w:sz w:val="2"/>
                <w:szCs w:val="2"/>
              </w:rPr>
            </w:pPr>
          </w:p>
        </w:tc>
        <w:tc>
          <w:tcPr>
            <w:tcW w:w="4055" w:type="dxa"/>
            <w:tcBorders>
              <w:top w:val="nil"/>
              <w:left w:val="single" w:sz="6" w:space="0" w:color="D9D9D9"/>
              <w:bottom w:val="single" w:sz="6" w:space="0" w:color="D9D9D9"/>
              <w:right w:val="single" w:sz="6" w:space="0" w:color="D9D9D9"/>
            </w:tcBorders>
          </w:tcPr>
          <w:p w14:paraId="17172DE9" w14:textId="77777777" w:rsidR="00C47BC8" w:rsidRDefault="00606574">
            <w:pPr>
              <w:pStyle w:val="TableParagraph"/>
              <w:spacing w:before="15"/>
              <w:ind w:left="330" w:right="1881"/>
              <w:rPr>
                <w:rFonts w:ascii="Calibri"/>
                <w:sz w:val="16"/>
              </w:rPr>
            </w:pPr>
            <w:r>
              <w:rPr>
                <w:rFonts w:ascii="Calibri"/>
                <w:color w:val="585858"/>
                <w:sz w:val="14"/>
              </w:rPr>
              <w:t>Allineato alla tassonomia: gas fossile</w:t>
            </w:r>
          </w:p>
          <w:p w14:paraId="6F49116B" w14:textId="77777777" w:rsidR="00C47BC8" w:rsidRDefault="00606574">
            <w:pPr>
              <w:pStyle w:val="TableParagraph"/>
              <w:spacing w:before="44"/>
              <w:ind w:left="330"/>
              <w:rPr>
                <w:rFonts w:ascii="Calibri"/>
                <w:sz w:val="16"/>
              </w:rPr>
            </w:pPr>
            <w:r>
              <w:rPr>
                <w:rFonts w:ascii="Calibri"/>
                <w:color w:val="585858"/>
                <w:sz w:val="14"/>
              </w:rPr>
              <w:t>In linea con la tassonomia:</w:t>
            </w:r>
          </w:p>
          <w:p w14:paraId="612E248A" w14:textId="77777777" w:rsidR="00C47BC8" w:rsidRDefault="00606574">
            <w:pPr>
              <w:pStyle w:val="TableParagraph"/>
              <w:tabs>
                <w:tab w:val="left" w:pos="2616"/>
              </w:tabs>
              <w:ind w:left="330"/>
              <w:rPr>
                <w:rFonts w:ascii="Calibri"/>
                <w:position w:val="-3"/>
                <w:sz w:val="16"/>
              </w:rPr>
            </w:pPr>
            <w:r>
              <w:rPr>
                <w:rFonts w:ascii="Calibri"/>
                <w:color w:val="585858"/>
                <w:spacing w:val="-2"/>
                <w:w w:val="110"/>
                <w:sz w:val="14"/>
              </w:rPr>
              <w:t>Nucleare</w:t>
            </w:r>
            <w:r>
              <w:rPr>
                <w:rFonts w:ascii="Calibri"/>
                <w:color w:val="585858"/>
                <w:sz w:val="14"/>
              </w:rPr>
              <w:tab/>
            </w:r>
            <w:r>
              <w:rPr>
                <w:rFonts w:ascii="Calibri"/>
                <w:color w:val="404040"/>
                <w:spacing w:val="-4"/>
                <w:w w:val="110"/>
                <w:position w:val="-3"/>
                <w:sz w:val="14"/>
              </w:rPr>
              <w:t>100%</w:t>
            </w:r>
          </w:p>
          <w:p w14:paraId="423CA6E9" w14:textId="77777777" w:rsidR="00C47BC8" w:rsidRDefault="00606574">
            <w:pPr>
              <w:pStyle w:val="TableParagraph"/>
              <w:spacing w:before="4"/>
              <w:ind w:left="330" w:right="1881" w:firstLine="32"/>
              <w:rPr>
                <w:rFonts w:ascii="Calibri"/>
                <w:sz w:val="16"/>
              </w:rPr>
            </w:pPr>
            <w:r>
              <w:rPr>
                <w:rFonts w:ascii="Calibri"/>
                <w:color w:val="585858"/>
                <w:spacing w:val="-2"/>
                <w:w w:val="105"/>
                <w:sz w:val="14"/>
              </w:rPr>
              <w:t>Allineato alla tassonomia (senza gas fossile, carbone, nucleare)</w:t>
            </w:r>
          </w:p>
          <w:p w14:paraId="2BDC1E40" w14:textId="77777777" w:rsidR="00C47BC8" w:rsidRDefault="00606574">
            <w:pPr>
              <w:pStyle w:val="TableParagraph"/>
              <w:spacing w:before="44"/>
              <w:ind w:left="330"/>
              <w:rPr>
                <w:rFonts w:ascii="Calibri"/>
                <w:sz w:val="16"/>
              </w:rPr>
            </w:pPr>
            <w:r>
              <w:rPr>
                <w:rFonts w:ascii="Calibri"/>
                <w:color w:val="585858"/>
                <w:sz w:val="14"/>
              </w:rPr>
              <w:t>Non allineato alla tassonomia</w:t>
            </w:r>
          </w:p>
        </w:tc>
        <w:tc>
          <w:tcPr>
            <w:tcW w:w="266" w:type="dxa"/>
            <w:vMerge/>
            <w:tcBorders>
              <w:top w:val="nil"/>
              <w:left w:val="single" w:sz="6" w:space="0" w:color="D9D9D9"/>
              <w:bottom w:val="nil"/>
              <w:right w:val="nil"/>
            </w:tcBorders>
            <w:shd w:val="clear" w:color="auto" w:fill="F9E1D4"/>
          </w:tcPr>
          <w:p w14:paraId="36813C6A" w14:textId="77777777" w:rsidR="00C47BC8" w:rsidRDefault="00C47BC8">
            <w:pPr>
              <w:rPr>
                <w:sz w:val="2"/>
                <w:szCs w:val="2"/>
              </w:rPr>
            </w:pPr>
          </w:p>
        </w:tc>
      </w:tr>
      <w:tr w:rsidR="00C47BC8" w14:paraId="297B6E9B" w14:textId="77777777">
        <w:trPr>
          <w:trHeight w:hRule="exact" w:val="796"/>
        </w:trPr>
        <w:tc>
          <w:tcPr>
            <w:tcW w:w="2440" w:type="dxa"/>
            <w:tcBorders>
              <w:top w:val="nil"/>
              <w:left w:val="nil"/>
            </w:tcBorders>
            <w:shd w:val="clear" w:color="auto" w:fill="D9D9D9"/>
          </w:tcPr>
          <w:p w14:paraId="31EBA7DC" w14:textId="77777777" w:rsidR="00C47BC8" w:rsidRDefault="00C47BC8">
            <w:pPr>
              <w:pStyle w:val="TableParagraph"/>
              <w:rPr>
                <w:rFonts w:ascii="Times New Roman"/>
                <w:sz w:val="18"/>
              </w:rPr>
            </w:pPr>
          </w:p>
        </w:tc>
        <w:tc>
          <w:tcPr>
            <w:tcW w:w="408" w:type="dxa"/>
            <w:vMerge/>
            <w:tcBorders>
              <w:top w:val="nil"/>
            </w:tcBorders>
          </w:tcPr>
          <w:p w14:paraId="38935EDE" w14:textId="77777777" w:rsidR="00C47BC8" w:rsidRDefault="00C47BC8">
            <w:pPr>
              <w:rPr>
                <w:sz w:val="2"/>
                <w:szCs w:val="2"/>
              </w:rPr>
            </w:pPr>
          </w:p>
        </w:tc>
        <w:tc>
          <w:tcPr>
            <w:tcW w:w="8496" w:type="dxa"/>
            <w:gridSpan w:val="6"/>
            <w:tcBorders>
              <w:top w:val="nil"/>
              <w:right w:val="nil"/>
            </w:tcBorders>
            <w:shd w:val="clear" w:color="auto" w:fill="F9E1D4"/>
          </w:tcPr>
          <w:p w14:paraId="08AB2A1E" w14:textId="77777777" w:rsidR="00C47BC8" w:rsidRDefault="00606574">
            <w:pPr>
              <w:pStyle w:val="TableParagraph"/>
              <w:spacing w:before="198"/>
              <w:ind w:left="102"/>
              <w:rPr>
                <w:i/>
                <w:sz w:val="18"/>
              </w:rPr>
            </w:pPr>
            <w:r>
              <w:rPr>
                <w:sz w:val="16"/>
              </w:rPr>
              <w:t xml:space="preserve">* </w:t>
            </w:r>
            <w:r>
              <w:rPr>
                <w:i/>
                <w:sz w:val="16"/>
              </w:rPr>
              <w:t>Ai fini di questi grafici, i "titoli di Stato" comprendono tutte le esposizioni sovrane</w:t>
            </w:r>
          </w:p>
        </w:tc>
      </w:tr>
      <w:tr w:rsidR="00C47BC8" w14:paraId="679029A8" w14:textId="77777777">
        <w:trPr>
          <w:trHeight w:hRule="exact" w:val="716"/>
        </w:trPr>
        <w:tc>
          <w:tcPr>
            <w:tcW w:w="2440" w:type="dxa"/>
            <w:tcBorders>
              <w:left w:val="nil"/>
            </w:tcBorders>
          </w:tcPr>
          <w:p w14:paraId="7F4F0280" w14:textId="77777777" w:rsidR="00C47BC8" w:rsidRDefault="00C47BC8">
            <w:pPr>
              <w:pStyle w:val="TableParagraph"/>
              <w:rPr>
                <w:rFonts w:ascii="Times New Roman"/>
                <w:sz w:val="18"/>
              </w:rPr>
            </w:pPr>
          </w:p>
        </w:tc>
        <w:tc>
          <w:tcPr>
            <w:tcW w:w="408" w:type="dxa"/>
          </w:tcPr>
          <w:p w14:paraId="151FF2AC" w14:textId="77777777" w:rsidR="00C47BC8" w:rsidRDefault="00C47BC8">
            <w:pPr>
              <w:pStyle w:val="TableParagraph"/>
              <w:rPr>
                <w:rFonts w:ascii="Times New Roman"/>
                <w:sz w:val="18"/>
              </w:rPr>
            </w:pPr>
          </w:p>
        </w:tc>
        <w:tc>
          <w:tcPr>
            <w:tcW w:w="8496" w:type="dxa"/>
            <w:gridSpan w:val="6"/>
            <w:tcBorders>
              <w:right w:val="nil"/>
            </w:tcBorders>
          </w:tcPr>
          <w:p w14:paraId="05AD61DE" w14:textId="77777777" w:rsidR="00C47BC8" w:rsidRDefault="00C47BC8">
            <w:pPr>
              <w:pStyle w:val="TableParagraph"/>
              <w:rPr>
                <w:rFonts w:ascii="Times New Roman"/>
                <w:sz w:val="18"/>
              </w:rPr>
            </w:pPr>
          </w:p>
        </w:tc>
      </w:tr>
      <w:tr w:rsidR="00C47BC8" w14:paraId="704ED670" w14:textId="77777777">
        <w:trPr>
          <w:trHeight w:hRule="exact" w:val="469"/>
        </w:trPr>
        <w:tc>
          <w:tcPr>
            <w:tcW w:w="2440" w:type="dxa"/>
            <w:tcBorders>
              <w:left w:val="nil"/>
            </w:tcBorders>
          </w:tcPr>
          <w:p w14:paraId="209B1216" w14:textId="77777777" w:rsidR="00C47BC8" w:rsidRDefault="00C47BC8">
            <w:pPr>
              <w:pStyle w:val="TableParagraph"/>
              <w:rPr>
                <w:rFonts w:ascii="Times New Roman"/>
                <w:sz w:val="18"/>
              </w:rPr>
            </w:pPr>
          </w:p>
        </w:tc>
        <w:tc>
          <w:tcPr>
            <w:tcW w:w="408" w:type="dxa"/>
          </w:tcPr>
          <w:p w14:paraId="781199B9" w14:textId="77777777" w:rsidR="00C47BC8" w:rsidRDefault="00C47BC8">
            <w:pPr>
              <w:pStyle w:val="TableParagraph"/>
              <w:rPr>
                <w:rFonts w:ascii="Times New Roman"/>
                <w:sz w:val="18"/>
              </w:rPr>
            </w:pPr>
          </w:p>
        </w:tc>
        <w:tc>
          <w:tcPr>
            <w:tcW w:w="8496" w:type="dxa"/>
            <w:gridSpan w:val="6"/>
            <w:tcBorders>
              <w:right w:val="nil"/>
            </w:tcBorders>
          </w:tcPr>
          <w:p w14:paraId="56435633" w14:textId="77777777" w:rsidR="00C47BC8" w:rsidRDefault="00606574">
            <w:pPr>
              <w:pStyle w:val="TableParagraph"/>
              <w:ind w:left="101"/>
              <w:rPr>
                <w:b/>
                <w:i/>
                <w:sz w:val="20"/>
              </w:rPr>
            </w:pPr>
            <w:r>
              <w:rPr>
                <w:noProof/>
                <w:position w:val="-1"/>
              </w:rPr>
              <w:drawing>
                <wp:inline distT="0" distB="0" distL="0" distR="0" wp14:anchorId="3453BB40" wp14:editId="0B434F3C">
                  <wp:extent cx="130175" cy="130175"/>
                  <wp:effectExtent l="0" t="0" r="0" b="0"/>
                  <wp:docPr id="68" name="Image 68"/>
                  <wp:cNvGraphicFramePr/>
                  <a:graphic xmlns:a="http://schemas.openxmlformats.org/drawingml/2006/main">
                    <a:graphicData uri="http://schemas.openxmlformats.org/drawingml/2006/picture">
                      <pic:pic xmlns:pic="http://schemas.openxmlformats.org/drawingml/2006/picture">
                        <pic:nvPicPr>
                          <pic:cNvPr id="68" name="Image 68"/>
                          <pic:cNvPicPr/>
                        </pic:nvPicPr>
                        <pic:blipFill>
                          <a:blip r:embed="rId39" cstate="print"/>
                          <a:stretch>
                            <a:fillRect/>
                          </a:stretch>
                        </pic:blipFill>
                        <pic:spPr>
                          <a:xfrm>
                            <a:off x="0" y="0"/>
                            <a:ext cx="130175" cy="130175"/>
                          </a:xfrm>
                          <a:prstGeom prst="rect">
                            <a:avLst/>
                          </a:prstGeom>
                        </pic:spPr>
                      </pic:pic>
                    </a:graphicData>
                  </a:graphic>
                </wp:inline>
              </w:drawing>
            </w:r>
            <w:r>
              <w:rPr>
                <w:rFonts w:ascii="Times New Roman"/>
                <w:sz w:val="18"/>
              </w:rPr>
              <w:t xml:space="preserve"> </w:t>
            </w:r>
            <w:r>
              <w:rPr>
                <w:b/>
                <w:i/>
                <w:sz w:val="18"/>
              </w:rPr>
              <w:t>Qual è la quota minima di investimenti in attività di transizione e abilitanti?</w:t>
            </w:r>
          </w:p>
        </w:tc>
      </w:tr>
      <w:tr w:rsidR="00C47BC8" w14:paraId="685781C8" w14:textId="77777777">
        <w:trPr>
          <w:trHeight w:hRule="exact" w:val="917"/>
        </w:trPr>
        <w:tc>
          <w:tcPr>
            <w:tcW w:w="2440" w:type="dxa"/>
            <w:tcBorders>
              <w:left w:val="nil"/>
            </w:tcBorders>
          </w:tcPr>
          <w:p w14:paraId="1B8586D1" w14:textId="77777777" w:rsidR="00C47BC8" w:rsidRDefault="00C47BC8">
            <w:pPr>
              <w:pStyle w:val="TableParagraph"/>
              <w:rPr>
                <w:rFonts w:ascii="Times New Roman"/>
                <w:sz w:val="18"/>
              </w:rPr>
            </w:pPr>
          </w:p>
        </w:tc>
        <w:tc>
          <w:tcPr>
            <w:tcW w:w="408" w:type="dxa"/>
          </w:tcPr>
          <w:p w14:paraId="6C91CAC7" w14:textId="77777777" w:rsidR="00C47BC8" w:rsidRDefault="00C47BC8">
            <w:pPr>
              <w:pStyle w:val="TableParagraph"/>
              <w:rPr>
                <w:rFonts w:ascii="Times New Roman"/>
                <w:sz w:val="18"/>
              </w:rPr>
            </w:pPr>
          </w:p>
        </w:tc>
        <w:tc>
          <w:tcPr>
            <w:tcW w:w="8496" w:type="dxa"/>
            <w:gridSpan w:val="6"/>
            <w:tcBorders>
              <w:right w:val="nil"/>
            </w:tcBorders>
          </w:tcPr>
          <w:p w14:paraId="301D1FBE" w14:textId="77777777" w:rsidR="00C47BC8" w:rsidRDefault="00606574">
            <w:pPr>
              <w:pStyle w:val="TableParagraph"/>
              <w:ind w:left="102"/>
              <w:rPr>
                <w:sz w:val="20"/>
              </w:rPr>
            </w:pPr>
            <w:r>
              <w:rPr>
                <w:sz w:val="18"/>
              </w:rPr>
              <w:t>Il Fondo non si impegna attualmente a investire più dello 0% del proprio patrimonio in attività di transizione e abilitanti ai sensi della Tassonomia dell'UE.</w:t>
            </w:r>
          </w:p>
        </w:tc>
      </w:tr>
      <w:tr w:rsidR="00C47BC8" w14:paraId="28B78AE4" w14:textId="77777777">
        <w:trPr>
          <w:trHeight w:hRule="exact" w:val="710"/>
        </w:trPr>
        <w:tc>
          <w:tcPr>
            <w:tcW w:w="2440" w:type="dxa"/>
            <w:tcBorders>
              <w:left w:val="nil"/>
              <w:bottom w:val="nil"/>
            </w:tcBorders>
            <w:shd w:val="clear" w:color="auto" w:fill="D9D9D9"/>
          </w:tcPr>
          <w:p w14:paraId="001AB39F" w14:textId="77777777" w:rsidR="00C47BC8" w:rsidRDefault="00606574">
            <w:pPr>
              <w:pStyle w:val="TableParagraph"/>
              <w:ind w:left="267"/>
              <w:rPr>
                <w:sz w:val="20"/>
              </w:rPr>
            </w:pPr>
            <w:r>
              <w:rPr>
                <w:noProof/>
                <w:sz w:val="20"/>
              </w:rPr>
              <w:drawing>
                <wp:inline distT="0" distB="0" distL="0" distR="0" wp14:anchorId="30436120" wp14:editId="23F1E889">
                  <wp:extent cx="298493" cy="298227"/>
                  <wp:effectExtent l="0" t="0" r="0" b="0"/>
                  <wp:docPr id="69" name="Image 69"/>
                  <wp:cNvGraphicFramePr/>
                  <a:graphic xmlns:a="http://schemas.openxmlformats.org/drawingml/2006/main">
                    <a:graphicData uri="http://schemas.openxmlformats.org/drawingml/2006/picture">
                      <pic:pic xmlns:pic="http://schemas.openxmlformats.org/drawingml/2006/picture">
                        <pic:nvPicPr>
                          <pic:cNvPr id="69" name="Image 69"/>
                          <pic:cNvPicPr/>
                        </pic:nvPicPr>
                        <pic:blipFill>
                          <a:blip r:embed="rId40" cstate="print"/>
                          <a:stretch>
                            <a:fillRect/>
                          </a:stretch>
                        </pic:blipFill>
                        <pic:spPr>
                          <a:xfrm>
                            <a:off x="0" y="0"/>
                            <a:ext cx="298493" cy="298227"/>
                          </a:xfrm>
                          <a:prstGeom prst="rect">
                            <a:avLst/>
                          </a:prstGeom>
                        </pic:spPr>
                      </pic:pic>
                    </a:graphicData>
                  </a:graphic>
                </wp:inline>
              </w:drawing>
            </w:r>
          </w:p>
        </w:tc>
        <w:tc>
          <w:tcPr>
            <w:tcW w:w="408" w:type="dxa"/>
          </w:tcPr>
          <w:p w14:paraId="1B6985B3" w14:textId="77777777" w:rsidR="00C47BC8" w:rsidRDefault="00C47BC8">
            <w:pPr>
              <w:pStyle w:val="TableParagraph"/>
              <w:rPr>
                <w:rFonts w:ascii="Times New Roman"/>
                <w:sz w:val="18"/>
              </w:rPr>
            </w:pPr>
          </w:p>
        </w:tc>
        <w:tc>
          <w:tcPr>
            <w:tcW w:w="107" w:type="dxa"/>
            <w:tcBorders>
              <w:right w:val="nil"/>
            </w:tcBorders>
          </w:tcPr>
          <w:p w14:paraId="3A3ADA94" w14:textId="77777777" w:rsidR="00C47BC8" w:rsidRDefault="00C47BC8">
            <w:pPr>
              <w:pStyle w:val="TableParagraph"/>
              <w:rPr>
                <w:rFonts w:ascii="Times New Roman"/>
                <w:sz w:val="18"/>
              </w:rPr>
            </w:pPr>
          </w:p>
        </w:tc>
        <w:tc>
          <w:tcPr>
            <w:tcW w:w="646" w:type="dxa"/>
            <w:tcBorders>
              <w:left w:val="nil"/>
              <w:right w:val="nil"/>
            </w:tcBorders>
          </w:tcPr>
          <w:p w14:paraId="7EE02A9E" w14:textId="77777777" w:rsidR="00C47BC8" w:rsidRDefault="00C47BC8">
            <w:pPr>
              <w:pStyle w:val="TableParagraph"/>
              <w:spacing w:before="9"/>
              <w:rPr>
                <w:b/>
                <w:sz w:val="2"/>
              </w:rPr>
            </w:pPr>
          </w:p>
          <w:p w14:paraId="78CFDAD8" w14:textId="77777777" w:rsidR="00C47BC8" w:rsidRDefault="00606574">
            <w:pPr>
              <w:pStyle w:val="TableParagraph"/>
              <w:ind w:left="-9"/>
              <w:rPr>
                <w:sz w:val="20"/>
              </w:rPr>
            </w:pPr>
            <w:r>
              <w:rPr>
                <w:noProof/>
                <w:sz w:val="20"/>
              </w:rPr>
              <w:drawing>
                <wp:inline distT="0" distB="0" distL="0" distR="0" wp14:anchorId="1272966E" wp14:editId="5101B873">
                  <wp:extent cx="358330" cy="358330"/>
                  <wp:effectExtent l="0" t="0" r="0" b="0"/>
                  <wp:docPr id="70" name="Image 70"/>
                  <wp:cNvGraphicFramePr/>
                  <a:graphic xmlns:a="http://schemas.openxmlformats.org/drawingml/2006/main">
                    <a:graphicData uri="http://schemas.openxmlformats.org/drawingml/2006/picture">
                      <pic:pic xmlns:pic="http://schemas.openxmlformats.org/drawingml/2006/picture">
                        <pic:nvPicPr>
                          <pic:cNvPr id="70" name="Image 70"/>
                          <pic:cNvPicPr/>
                        </pic:nvPicPr>
                        <pic:blipFill>
                          <a:blip r:embed="rId41" cstate="print"/>
                          <a:stretch>
                            <a:fillRect/>
                          </a:stretch>
                        </pic:blipFill>
                        <pic:spPr>
                          <a:xfrm>
                            <a:off x="0" y="0"/>
                            <a:ext cx="358330" cy="358330"/>
                          </a:xfrm>
                          <a:prstGeom prst="rect">
                            <a:avLst/>
                          </a:prstGeom>
                        </pic:spPr>
                      </pic:pic>
                    </a:graphicData>
                  </a:graphic>
                </wp:inline>
              </w:drawing>
            </w:r>
          </w:p>
        </w:tc>
        <w:tc>
          <w:tcPr>
            <w:tcW w:w="7743" w:type="dxa"/>
            <w:gridSpan w:val="4"/>
            <w:tcBorders>
              <w:left w:val="nil"/>
              <w:right w:val="nil"/>
            </w:tcBorders>
          </w:tcPr>
          <w:p w14:paraId="590B7C97" w14:textId="77777777" w:rsidR="00C47BC8" w:rsidRDefault="00606574">
            <w:pPr>
              <w:pStyle w:val="TableParagraph"/>
              <w:ind w:left="90" w:right="235"/>
              <w:rPr>
                <w:b/>
                <w:sz w:val="20"/>
              </w:rPr>
            </w:pPr>
            <w:r>
              <w:rPr>
                <w:b/>
                <w:sz w:val="18"/>
              </w:rPr>
              <w:t>Qual è la quota minima di investimenti sostenibili con un obiettivo ambientale che non sono in linea con la tassonomia dell'UE?</w:t>
            </w:r>
          </w:p>
        </w:tc>
      </w:tr>
      <w:tr w:rsidR="00C47BC8" w14:paraId="6B89028D" w14:textId="77777777">
        <w:trPr>
          <w:trHeight w:hRule="exact" w:val="332"/>
        </w:trPr>
        <w:tc>
          <w:tcPr>
            <w:tcW w:w="2440" w:type="dxa"/>
            <w:tcBorders>
              <w:top w:val="nil"/>
              <w:left w:val="nil"/>
              <w:bottom w:val="nil"/>
            </w:tcBorders>
            <w:shd w:val="clear" w:color="auto" w:fill="D9D9D9"/>
          </w:tcPr>
          <w:p w14:paraId="24582518" w14:textId="77777777" w:rsidR="00C47BC8" w:rsidRDefault="00606574">
            <w:pPr>
              <w:pStyle w:val="TableParagraph"/>
              <w:tabs>
                <w:tab w:val="left" w:pos="1160"/>
              </w:tabs>
              <w:spacing w:before="122" w:line="190" w:lineRule="exact"/>
              <w:ind w:right="102"/>
              <w:jc w:val="right"/>
              <w:rPr>
                <w:sz w:val="18"/>
              </w:rPr>
            </w:pPr>
            <w:r>
              <w:rPr>
                <w:spacing w:val="-5"/>
                <w:sz w:val="16"/>
              </w:rPr>
              <w:t>sono</w:t>
            </w:r>
            <w:r>
              <w:rPr>
                <w:sz w:val="16"/>
              </w:rPr>
              <w:tab/>
            </w:r>
            <w:r>
              <w:rPr>
                <w:spacing w:val="-2"/>
                <w:sz w:val="16"/>
              </w:rPr>
              <w:t>sostenibili</w:t>
            </w:r>
          </w:p>
        </w:tc>
        <w:tc>
          <w:tcPr>
            <w:tcW w:w="408" w:type="dxa"/>
            <w:vMerge w:val="restart"/>
          </w:tcPr>
          <w:p w14:paraId="6493E282" w14:textId="77777777" w:rsidR="00C47BC8" w:rsidRDefault="00C47BC8">
            <w:pPr>
              <w:pStyle w:val="TableParagraph"/>
              <w:rPr>
                <w:rFonts w:ascii="Times New Roman"/>
                <w:sz w:val="18"/>
              </w:rPr>
            </w:pPr>
          </w:p>
        </w:tc>
        <w:tc>
          <w:tcPr>
            <w:tcW w:w="8496" w:type="dxa"/>
            <w:gridSpan w:val="6"/>
            <w:vMerge w:val="restart"/>
            <w:tcBorders>
              <w:right w:val="nil"/>
            </w:tcBorders>
          </w:tcPr>
          <w:p w14:paraId="1865786F" w14:textId="77777777" w:rsidR="00C47BC8" w:rsidRDefault="00606574">
            <w:pPr>
              <w:pStyle w:val="TableParagraph"/>
              <w:ind w:left="102" w:right="106"/>
              <w:jc w:val="both"/>
              <w:rPr>
                <w:sz w:val="20"/>
              </w:rPr>
            </w:pPr>
            <w:r>
              <w:rPr>
                <w:sz w:val="18"/>
              </w:rPr>
              <w:t>Almeno il 20% del patrimonio del Fondo sarà investito in investimenti sostenibili. Questi investimenti sostenibili saranno investimenti sostenibili con un obiettivo ambientale che non si impegna ad allinearsi alla Tassonomia dell’UE o con un obiettivo sociale (o una combinazione</w:t>
            </w:r>
          </w:p>
          <w:p w14:paraId="07CA00B0" w14:textId="77777777" w:rsidR="00C47BC8" w:rsidRDefault="00606574">
            <w:pPr>
              <w:pStyle w:val="TableParagraph"/>
              <w:spacing w:line="230" w:lineRule="exact"/>
              <w:ind w:left="102" w:right="107"/>
              <w:jc w:val="both"/>
              <w:rPr>
                <w:sz w:val="20"/>
              </w:rPr>
            </w:pPr>
            <w:r>
              <w:rPr>
                <w:sz w:val="18"/>
              </w:rPr>
              <w:t>entrambi). La combinazione di investimenti sostenibili con un obiettivo ambientale o sociale può variare nel tempo a seconda delle attività delle società incluse nel Benchmark</w:t>
            </w:r>
          </w:p>
        </w:tc>
      </w:tr>
      <w:tr w:rsidR="00C47BC8" w14:paraId="3F36051B" w14:textId="77777777">
        <w:trPr>
          <w:trHeight w:hRule="exact" w:val="207"/>
        </w:trPr>
        <w:tc>
          <w:tcPr>
            <w:tcW w:w="2440" w:type="dxa"/>
            <w:tcBorders>
              <w:top w:val="nil"/>
              <w:left w:val="nil"/>
              <w:bottom w:val="nil"/>
            </w:tcBorders>
            <w:shd w:val="clear" w:color="auto" w:fill="D9D9D9"/>
          </w:tcPr>
          <w:p w14:paraId="0233D848" w14:textId="77777777" w:rsidR="00C47BC8" w:rsidRDefault="00606574">
            <w:pPr>
              <w:pStyle w:val="TableParagraph"/>
              <w:tabs>
                <w:tab w:val="left" w:pos="1254"/>
                <w:tab w:val="left" w:pos="1868"/>
              </w:tabs>
              <w:spacing w:line="187" w:lineRule="exact"/>
              <w:ind w:right="103"/>
              <w:jc w:val="right"/>
              <w:rPr>
                <w:sz w:val="18"/>
              </w:rPr>
            </w:pPr>
            <w:r>
              <w:rPr>
                <w:spacing w:val="-2"/>
                <w:sz w:val="16"/>
              </w:rPr>
              <w:t>investimenti</w:t>
            </w:r>
            <w:r>
              <w:rPr>
                <w:sz w:val="16"/>
              </w:rPr>
              <w:tab/>
            </w:r>
            <w:r>
              <w:rPr>
                <w:spacing w:val="-4"/>
                <w:sz w:val="16"/>
              </w:rPr>
              <w:t>con</w:t>
            </w:r>
            <w:r>
              <w:rPr>
                <w:sz w:val="16"/>
              </w:rPr>
              <w:tab/>
            </w:r>
            <w:r>
              <w:rPr>
                <w:spacing w:val="-5"/>
                <w:sz w:val="16"/>
              </w:rPr>
              <w:t>un</w:t>
            </w:r>
          </w:p>
        </w:tc>
        <w:tc>
          <w:tcPr>
            <w:tcW w:w="408" w:type="dxa"/>
            <w:vMerge/>
            <w:tcBorders>
              <w:top w:val="nil"/>
            </w:tcBorders>
          </w:tcPr>
          <w:p w14:paraId="19FCFBC7" w14:textId="77777777" w:rsidR="00C47BC8" w:rsidRDefault="00C47BC8">
            <w:pPr>
              <w:rPr>
                <w:sz w:val="2"/>
                <w:szCs w:val="2"/>
              </w:rPr>
            </w:pPr>
          </w:p>
        </w:tc>
        <w:tc>
          <w:tcPr>
            <w:tcW w:w="8496" w:type="dxa"/>
            <w:gridSpan w:val="6"/>
            <w:vMerge/>
            <w:tcBorders>
              <w:top w:val="nil"/>
              <w:right w:val="nil"/>
            </w:tcBorders>
          </w:tcPr>
          <w:p w14:paraId="1953CEEC" w14:textId="77777777" w:rsidR="00C47BC8" w:rsidRDefault="00C47BC8">
            <w:pPr>
              <w:rPr>
                <w:sz w:val="2"/>
                <w:szCs w:val="2"/>
              </w:rPr>
            </w:pPr>
          </w:p>
        </w:tc>
      </w:tr>
      <w:tr w:rsidR="00C47BC8" w14:paraId="51CC7803" w14:textId="77777777">
        <w:trPr>
          <w:trHeight w:hRule="exact" w:val="206"/>
        </w:trPr>
        <w:tc>
          <w:tcPr>
            <w:tcW w:w="2440" w:type="dxa"/>
            <w:tcBorders>
              <w:top w:val="nil"/>
              <w:left w:val="nil"/>
              <w:bottom w:val="nil"/>
            </w:tcBorders>
            <w:shd w:val="clear" w:color="auto" w:fill="D9D9D9"/>
          </w:tcPr>
          <w:p w14:paraId="166EC0B1" w14:textId="77777777" w:rsidR="00C47BC8" w:rsidRDefault="00606574">
            <w:pPr>
              <w:pStyle w:val="TableParagraph"/>
              <w:tabs>
                <w:tab w:val="left" w:pos="1360"/>
              </w:tabs>
              <w:spacing w:line="187" w:lineRule="exact"/>
              <w:ind w:right="102"/>
              <w:jc w:val="right"/>
              <w:rPr>
                <w:sz w:val="18"/>
              </w:rPr>
            </w:pPr>
            <w:r>
              <w:rPr>
                <w:spacing w:val="-2"/>
                <w:sz w:val="16"/>
              </w:rPr>
              <w:t>obiettivo</w:t>
            </w:r>
            <w:r>
              <w:rPr>
                <w:sz w:val="16"/>
              </w:rPr>
              <w:tab/>
            </w:r>
            <w:r>
              <w:rPr>
                <w:spacing w:val="-2"/>
                <w:sz w:val="16"/>
              </w:rPr>
              <w:t>obiettivo</w:t>
            </w:r>
          </w:p>
        </w:tc>
        <w:tc>
          <w:tcPr>
            <w:tcW w:w="408" w:type="dxa"/>
            <w:vMerge/>
            <w:tcBorders>
              <w:top w:val="nil"/>
            </w:tcBorders>
          </w:tcPr>
          <w:p w14:paraId="31E2FEA6" w14:textId="77777777" w:rsidR="00C47BC8" w:rsidRDefault="00C47BC8">
            <w:pPr>
              <w:rPr>
                <w:sz w:val="2"/>
                <w:szCs w:val="2"/>
              </w:rPr>
            </w:pPr>
          </w:p>
        </w:tc>
        <w:tc>
          <w:tcPr>
            <w:tcW w:w="8496" w:type="dxa"/>
            <w:gridSpan w:val="6"/>
            <w:vMerge/>
            <w:tcBorders>
              <w:top w:val="nil"/>
              <w:right w:val="nil"/>
            </w:tcBorders>
          </w:tcPr>
          <w:p w14:paraId="6C4FF08E" w14:textId="77777777" w:rsidR="00C47BC8" w:rsidRDefault="00C47BC8">
            <w:pPr>
              <w:rPr>
                <w:sz w:val="2"/>
                <w:szCs w:val="2"/>
              </w:rPr>
            </w:pPr>
          </w:p>
        </w:tc>
      </w:tr>
      <w:tr w:rsidR="00C47BC8" w14:paraId="152F8721" w14:textId="77777777">
        <w:trPr>
          <w:trHeight w:hRule="exact" w:val="206"/>
        </w:trPr>
        <w:tc>
          <w:tcPr>
            <w:tcW w:w="2440" w:type="dxa"/>
            <w:tcBorders>
              <w:top w:val="nil"/>
              <w:left w:val="nil"/>
              <w:bottom w:val="nil"/>
            </w:tcBorders>
            <w:shd w:val="clear" w:color="auto" w:fill="D9D9D9"/>
          </w:tcPr>
          <w:p w14:paraId="2C24F1D1" w14:textId="77777777" w:rsidR="00C47BC8" w:rsidRDefault="00606574">
            <w:pPr>
              <w:pStyle w:val="TableParagraph"/>
              <w:spacing w:line="187" w:lineRule="exact"/>
              <w:ind w:right="102"/>
              <w:jc w:val="right"/>
              <w:rPr>
                <w:b/>
                <w:sz w:val="18"/>
              </w:rPr>
            </w:pPr>
            <w:r>
              <w:rPr>
                <w:sz w:val="16"/>
              </w:rPr>
              <w:t xml:space="preserve">che </w:t>
            </w:r>
            <w:r>
              <w:rPr>
                <w:b/>
                <w:sz w:val="16"/>
              </w:rPr>
              <w:t>non tengono conto</w:t>
            </w:r>
          </w:p>
        </w:tc>
        <w:tc>
          <w:tcPr>
            <w:tcW w:w="408" w:type="dxa"/>
            <w:vMerge/>
            <w:tcBorders>
              <w:top w:val="nil"/>
            </w:tcBorders>
          </w:tcPr>
          <w:p w14:paraId="205DB9E4" w14:textId="77777777" w:rsidR="00C47BC8" w:rsidRDefault="00C47BC8">
            <w:pPr>
              <w:rPr>
                <w:sz w:val="2"/>
                <w:szCs w:val="2"/>
              </w:rPr>
            </w:pPr>
          </w:p>
        </w:tc>
        <w:tc>
          <w:tcPr>
            <w:tcW w:w="8496" w:type="dxa"/>
            <w:gridSpan w:val="6"/>
            <w:vMerge/>
            <w:tcBorders>
              <w:top w:val="nil"/>
              <w:right w:val="nil"/>
            </w:tcBorders>
          </w:tcPr>
          <w:p w14:paraId="46B126EF" w14:textId="77777777" w:rsidR="00C47BC8" w:rsidRDefault="00C47BC8">
            <w:pPr>
              <w:rPr>
                <w:sz w:val="2"/>
                <w:szCs w:val="2"/>
              </w:rPr>
            </w:pPr>
          </w:p>
        </w:tc>
      </w:tr>
      <w:tr w:rsidR="00C47BC8" w14:paraId="5F2495B4" w14:textId="77777777">
        <w:trPr>
          <w:trHeight w:hRule="exact" w:val="209"/>
        </w:trPr>
        <w:tc>
          <w:tcPr>
            <w:tcW w:w="2440" w:type="dxa"/>
            <w:tcBorders>
              <w:top w:val="nil"/>
              <w:left w:val="nil"/>
            </w:tcBorders>
            <w:shd w:val="clear" w:color="auto" w:fill="D9D9D9"/>
          </w:tcPr>
          <w:p w14:paraId="5B5FAA78" w14:textId="77777777" w:rsidR="00C47BC8" w:rsidRDefault="00606574">
            <w:pPr>
              <w:pStyle w:val="TableParagraph"/>
              <w:spacing w:line="184" w:lineRule="exact"/>
              <w:ind w:right="102"/>
              <w:jc w:val="right"/>
              <w:rPr>
                <w:sz w:val="18"/>
              </w:rPr>
            </w:pPr>
            <w:r>
              <w:rPr>
                <w:b/>
                <w:sz w:val="16"/>
              </w:rPr>
              <w:t xml:space="preserve">i criteri </w:t>
            </w:r>
            <w:r>
              <w:rPr>
                <w:spacing w:val="-5"/>
                <w:sz w:val="16"/>
              </w:rPr>
              <w:t>per</w:t>
            </w:r>
          </w:p>
        </w:tc>
        <w:tc>
          <w:tcPr>
            <w:tcW w:w="408" w:type="dxa"/>
            <w:vMerge/>
            <w:tcBorders>
              <w:top w:val="nil"/>
            </w:tcBorders>
          </w:tcPr>
          <w:p w14:paraId="001BA141" w14:textId="77777777" w:rsidR="00C47BC8" w:rsidRDefault="00C47BC8">
            <w:pPr>
              <w:rPr>
                <w:sz w:val="2"/>
                <w:szCs w:val="2"/>
              </w:rPr>
            </w:pPr>
          </w:p>
        </w:tc>
        <w:tc>
          <w:tcPr>
            <w:tcW w:w="8496" w:type="dxa"/>
            <w:gridSpan w:val="6"/>
            <w:vMerge/>
            <w:tcBorders>
              <w:top w:val="nil"/>
              <w:right w:val="nil"/>
            </w:tcBorders>
          </w:tcPr>
          <w:p w14:paraId="3F05DE0E" w14:textId="77777777" w:rsidR="00C47BC8" w:rsidRDefault="00C47BC8">
            <w:pPr>
              <w:rPr>
                <w:sz w:val="2"/>
                <w:szCs w:val="2"/>
              </w:rPr>
            </w:pPr>
          </w:p>
        </w:tc>
      </w:tr>
    </w:tbl>
    <w:p w14:paraId="199001B8" w14:textId="77777777" w:rsidR="00C47BC8" w:rsidRDefault="00606574">
      <w:pPr>
        <w:pStyle w:val="Corpotesto"/>
        <w:spacing w:before="8"/>
        <w:rPr>
          <w:b/>
          <w:sz w:val="20"/>
        </w:rPr>
      </w:pPr>
      <w:r>
        <w:rPr>
          <w:b/>
          <w:noProof/>
          <w:sz w:val="20"/>
        </w:rPr>
        <mc:AlternateContent>
          <mc:Choice Requires="wps">
            <w:drawing>
              <wp:anchor distT="0" distB="0" distL="0" distR="0" simplePos="0" relativeHeight="251691008" behindDoc="1" locked="0" layoutInCell="1" allowOverlap="1" wp14:anchorId="4A0E0059" wp14:editId="163037BE">
                <wp:simplePos x="0" y="0"/>
                <wp:positionH relativeFrom="page">
                  <wp:posOffset>914400</wp:posOffset>
                </wp:positionH>
                <wp:positionV relativeFrom="paragraph">
                  <wp:posOffset>166879</wp:posOffset>
                </wp:positionV>
                <wp:extent cx="1829435" cy="7620"/>
                <wp:effectExtent l="0" t="0" r="0" b="0"/>
                <wp:wrapTopAndBottom/>
                <wp:docPr id="71" name="Graphic 71"/>
                <wp:cNvGraphicFramePr/>
                <a:graphic xmlns:a="http://schemas.openxmlformats.org/drawingml/2006/main">
                  <a:graphicData uri="http://schemas.microsoft.com/office/word/2010/wordprocessingShape">
                    <wps:wsp>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w14:anchorId="66A1C56A" id="Graphic 71" o:spid="_x0000_s1026" style="position:absolute;margin-left:1in;margin-top:13.15pt;width:144.05pt;height:.6pt;z-index:-251625472;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" path="m1829054,l,,,7619r1829054,l1829054,xe" fillcolor="black" stroked="f">
                <v:path arrowok="t"/>
                <w10:wrap type="topAndBottom" anchorx="page"/>
              </v:shape>
            </w:pict>
          </mc:Fallback>
        </mc:AlternateContent>
      </w:r>
    </w:p>
    <w:p w14:paraId="449EB5D4" w14:textId="77777777" w:rsidR="00C47BC8" w:rsidRDefault="00606574">
      <w:pPr>
        <w:pStyle w:val="Corpotesto"/>
        <w:spacing w:before="98" w:line="244" w:lineRule="auto"/>
        <w:ind w:left="1440" w:right="1013"/>
        <w:jc w:val="both"/>
      </w:pPr>
      <w:bookmarkStart w:id="0" w:name="_bookmark0"/>
      <w:bookmarkEnd w:id="0"/>
      <w:r>
        <w:rPr>
          <w:rFonts w:ascii="Times New Roman" w:hAnsi="Times New Roman"/>
          <w:position w:val="7"/>
          <w:sz w:val="12"/>
        </w:rPr>
        <w:t>4</w:t>
      </w:r>
      <w:r>
        <w:rPr>
          <w:sz w:val="14"/>
        </w:rPr>
        <w:t xml:space="preserve"> Le attività relative al gas fossile e/o al nucleare saranno conformi alla tassonomia dell’UE solo se contribuiscono a limitare i cambiamenti climatici («mitigazione dei cambiamenti climatici») e non danneggiano in modo significativo alcun obiettivo della tassonomia dell’UE — cfr. la nota esplicativa nel margine sinistro. I criteri completi per le attività economiche relative al gas fossile e all’energia nucleare conformi alla tassonomia dell’UE sono stabiliti nel regolamento delegato (UE) 2022/1214 della C</w:t>
      </w:r>
      <w:r>
        <w:rPr>
          <w:sz w:val="14"/>
        </w:rPr>
        <w:t>ommissione.</w:t>
      </w:r>
    </w:p>
    <w:p w14:paraId="17B25285" w14:textId="77777777" w:rsidR="00C47BC8" w:rsidRDefault="00C47BC8">
      <w:pPr>
        <w:pStyle w:val="Corpotesto"/>
        <w:spacing w:line="244" w:lineRule="auto"/>
        <w:jc w:val="both"/>
        <w:sectPr w:rsidR="00C47BC8">
          <w:pgSz w:w="11910" w:h="16840"/>
          <w:pgMar w:top="1380" w:right="425" w:bottom="800" w:left="0" w:header="0" w:footer="617" w:gutter="0"/>
          <w:cols w:space="708"/>
        </w:sectPr>
      </w:pPr>
    </w:p>
    <w:p w14:paraId="2F147D40" w14:textId="77777777" w:rsidR="00C47BC8" w:rsidRDefault="00C47BC8">
      <w:pPr>
        <w:pStyle w:val="Corpotesto"/>
        <w:rPr>
          <w:sz w:val="2"/>
        </w:rPr>
      </w:pPr>
    </w:p>
    <w:tbl>
      <w:tblPr>
        <w:tblStyle w:val="TableNormal"/>
        <w:tblW w:w="0" w:type="auto"/>
        <w:tblInd w:w="29" w:type="dxa"/>
        <w:tblBorders>
          <w:top w:val="single" w:sz="4" w:space="0" w:color="E8E8E8"/>
          <w:left w:val="single" w:sz="4" w:space="0" w:color="E8E8E8"/>
          <w:bottom w:val="single" w:sz="4" w:space="0" w:color="E8E8E8"/>
          <w:right w:val="single" w:sz="4" w:space="0" w:color="E8E8E8"/>
          <w:insideH w:val="single" w:sz="4" w:space="0" w:color="E8E8E8"/>
          <w:insideV w:val="single" w:sz="4" w:space="0" w:color="E8E8E8"/>
        </w:tblBorders>
        <w:tblLayout w:type="fixed"/>
        <w:tblLook w:val="01E0" w:firstRow="1" w:lastRow="1" w:firstColumn="1" w:lastColumn="1" w:noHBand="0" w:noVBand="0"/>
      </w:tblPr>
      <w:tblGrid>
        <w:gridCol w:w="2444"/>
        <w:gridCol w:w="404"/>
        <w:gridCol w:w="8497"/>
      </w:tblGrid>
      <w:tr w:rsidR="00C47BC8" w14:paraId="36A30168" w14:textId="77777777">
        <w:trPr>
          <w:trHeight w:val="920"/>
        </w:trPr>
        <w:tc>
          <w:tcPr>
            <w:tcW w:w="2444" w:type="dxa"/>
            <w:tcBorders>
              <w:left w:val="nil"/>
            </w:tcBorders>
            <w:shd w:val="clear" w:color="auto" w:fill="D9D9D9"/>
          </w:tcPr>
          <w:p w14:paraId="4015DE49" w14:textId="77777777" w:rsidR="00C47BC8" w:rsidRDefault="00606574">
            <w:pPr>
              <w:pStyle w:val="TableParagraph"/>
              <w:tabs>
                <w:tab w:val="left" w:pos="1565"/>
              </w:tabs>
              <w:ind w:left="265" w:right="102"/>
              <w:rPr>
                <w:sz w:val="18"/>
              </w:rPr>
            </w:pPr>
            <w:r>
              <w:rPr>
                <w:spacing w:val="-2"/>
                <w:sz w:val="16"/>
              </w:rPr>
              <w:t>attività economiche</w:t>
            </w:r>
            <w:r>
              <w:rPr>
                <w:sz w:val="16"/>
              </w:rPr>
              <w:tab/>
              <w:t>ai sensi della Tassonomia dell’UE.</w:t>
            </w:r>
          </w:p>
        </w:tc>
        <w:tc>
          <w:tcPr>
            <w:tcW w:w="404" w:type="dxa"/>
          </w:tcPr>
          <w:p w14:paraId="21FD6ECA" w14:textId="77777777" w:rsidR="00C47BC8" w:rsidRDefault="00C47BC8">
            <w:pPr>
              <w:pStyle w:val="TableParagraph"/>
              <w:rPr>
                <w:rFonts w:ascii="Times New Roman"/>
                <w:sz w:val="18"/>
              </w:rPr>
            </w:pPr>
          </w:p>
        </w:tc>
        <w:tc>
          <w:tcPr>
            <w:tcW w:w="8497" w:type="dxa"/>
            <w:tcBorders>
              <w:right w:val="nil"/>
            </w:tcBorders>
          </w:tcPr>
          <w:p w14:paraId="128FEDD0" w14:textId="77777777" w:rsidR="00C47BC8" w:rsidRDefault="00606574">
            <w:pPr>
              <w:pStyle w:val="TableParagraph"/>
              <w:ind w:left="107" w:right="102"/>
              <w:jc w:val="both"/>
              <w:rPr>
                <w:sz w:val="20"/>
              </w:rPr>
            </w:pPr>
            <w:r>
              <w:rPr>
                <w:sz w:val="18"/>
              </w:rPr>
              <w:t>Indice. La valutazione degli investimenti del Fondo qualificabili come investimenti sostenibili viene determinata in occasione o in prossimità di ciascun ribilanciamento dell’indice, quando il portafoglio del Fondo viene ribilanciato in linea con il proprio Indice di Riferimento.</w:t>
            </w:r>
          </w:p>
        </w:tc>
      </w:tr>
      <w:tr w:rsidR="00C47BC8" w14:paraId="7FF5FDFC" w14:textId="77777777">
        <w:trPr>
          <w:trHeight w:val="689"/>
        </w:trPr>
        <w:tc>
          <w:tcPr>
            <w:tcW w:w="2444" w:type="dxa"/>
            <w:tcBorders>
              <w:left w:val="nil"/>
            </w:tcBorders>
          </w:tcPr>
          <w:p w14:paraId="2679B924" w14:textId="77777777" w:rsidR="00C47BC8" w:rsidRDefault="00C47BC8">
            <w:pPr>
              <w:pStyle w:val="TableParagraph"/>
              <w:rPr>
                <w:rFonts w:ascii="Times New Roman"/>
                <w:sz w:val="18"/>
              </w:rPr>
            </w:pPr>
          </w:p>
        </w:tc>
        <w:tc>
          <w:tcPr>
            <w:tcW w:w="404" w:type="dxa"/>
          </w:tcPr>
          <w:p w14:paraId="26C0630F" w14:textId="77777777" w:rsidR="00C47BC8" w:rsidRDefault="00C47BC8">
            <w:pPr>
              <w:pStyle w:val="TableParagraph"/>
              <w:rPr>
                <w:rFonts w:ascii="Times New Roman"/>
                <w:sz w:val="18"/>
              </w:rPr>
            </w:pPr>
          </w:p>
        </w:tc>
        <w:tc>
          <w:tcPr>
            <w:tcW w:w="8497" w:type="dxa"/>
            <w:tcBorders>
              <w:right w:val="nil"/>
            </w:tcBorders>
          </w:tcPr>
          <w:p w14:paraId="3DA50D24" w14:textId="77777777" w:rsidR="00C47BC8" w:rsidRDefault="00606574">
            <w:pPr>
              <w:pStyle w:val="TableParagraph"/>
              <w:ind w:left="851"/>
              <w:rPr>
                <w:b/>
                <w:sz w:val="20"/>
              </w:rPr>
            </w:pPr>
            <w:r>
              <w:rPr>
                <w:b/>
                <w:noProof/>
                <w:sz w:val="20"/>
              </w:rPr>
              <mc:AlternateContent>
                <mc:Choice Requires="wpg">
                  <w:drawing>
                    <wp:anchor distT="0" distB="0" distL="0" distR="0" simplePos="0" relativeHeight="251670528" behindDoc="0" locked="0" layoutInCell="1" allowOverlap="1" wp14:anchorId="52D72C98" wp14:editId="23D6A261">
                      <wp:simplePos x="0" y="0"/>
                      <wp:positionH relativeFrom="column">
                        <wp:posOffset>67563</wp:posOffset>
                      </wp:positionH>
                      <wp:positionV relativeFrom="paragraph">
                        <wp:posOffset>1395</wp:posOffset>
                      </wp:positionV>
                      <wp:extent cx="358775" cy="358775"/>
                      <wp:effectExtent l="0" t="0" r="0" b="0"/>
                      <wp:wrapNone/>
                      <wp:docPr id="72" name="Group 72"/>
                      <wp:cNvGraphicFramePr/>
                      <a:graphic xmlns:a="http://schemas.openxmlformats.org/drawingml/2006/main">
                        <a:graphicData uri="http://schemas.microsoft.com/office/word/2010/wordprocessingGroup">
                          <wpg:wgp>
                            <wpg:cNvGrpSpPr/>
                            <wpg:grpSpPr>
                              <a:xfrm>
                                <a:off x="0" y="0"/>
                                <a:ext cx="358775" cy="358775"/>
                                <a:chOff x="0" y="0"/>
                                <a:chExt cx="358775" cy="358775"/>
                              </a:xfrm>
                            </wpg:grpSpPr>
                            <pic:pic xmlns:pic="http://schemas.openxmlformats.org/drawingml/2006/picture">
                              <pic:nvPicPr>
                                <pic:cNvPr id="73" name="Image 73"/>
                                <pic:cNvPicPr/>
                              </pic:nvPicPr>
                              <pic:blipFill>
                                <a:blip r:embed="rId42" cstate="print"/>
                                <a:stretch>
                                  <a:fillRect/>
                                </a:stretch>
                              </pic:blipFill>
                              <pic:spPr>
                                <a:xfrm>
                                  <a:off x="0" y="0"/>
                                  <a:ext cx="358775" cy="358775"/>
                                </a:xfrm>
                                <a:prstGeom prst="rect">
                                  <a:avLst/>
                                </a:prstGeom>
                              </pic:spPr>
                            </pic:pic>
                          </wpg:wgp>
                        </a:graphicData>
                      </a:graphic>
                    </wp:anchor>
                  </w:drawing>
                </mc:Choice>
                <mc:Fallback>
                  <w:pict>
                    <v:group w14:anchorId="7F14E176" id="Group 72" o:spid="_x0000_s1026" style="position:absolute;margin-left:5.3pt;margin-top:.1pt;width:28.25pt;height:28.25pt;z-index:251670528;mso-wrap-distance-left:0;mso-wrap-distance-right:0" coordsize="358775,3587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">
                      <v:shape id="Image 73" o:spid="_x0000_s1027" type="#_x0000_t75" style="position:absolute;width:358775;height:3587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">
                        <v:imagedata r:id="rId43" o:title=""/>
                      </v:shape>
                    </v:group>
                  </w:pict>
                </mc:Fallback>
              </mc:AlternateContent>
            </w:r>
            <w:r>
              <w:rPr>
                <w:b/>
                <w:sz w:val="18"/>
              </w:rPr>
              <w:t>Qual è la quota minima di investimenti socialmente sostenibili?</w:t>
            </w:r>
          </w:p>
        </w:tc>
      </w:tr>
      <w:tr w:rsidR="00C47BC8" w14:paraId="10EDD156" w14:textId="77777777">
        <w:trPr>
          <w:trHeight w:val="2069"/>
        </w:trPr>
        <w:tc>
          <w:tcPr>
            <w:tcW w:w="2444" w:type="dxa"/>
            <w:tcBorders>
              <w:left w:val="nil"/>
            </w:tcBorders>
          </w:tcPr>
          <w:p w14:paraId="1B1D9992" w14:textId="77777777" w:rsidR="00C47BC8" w:rsidRDefault="00C47BC8">
            <w:pPr>
              <w:pStyle w:val="TableParagraph"/>
              <w:rPr>
                <w:rFonts w:ascii="Times New Roman"/>
                <w:sz w:val="18"/>
              </w:rPr>
            </w:pPr>
          </w:p>
        </w:tc>
        <w:tc>
          <w:tcPr>
            <w:tcW w:w="404" w:type="dxa"/>
          </w:tcPr>
          <w:p w14:paraId="5999349A" w14:textId="77777777" w:rsidR="00C47BC8" w:rsidRDefault="00C47BC8">
            <w:pPr>
              <w:pStyle w:val="TableParagraph"/>
              <w:rPr>
                <w:rFonts w:ascii="Times New Roman"/>
                <w:sz w:val="18"/>
              </w:rPr>
            </w:pPr>
          </w:p>
        </w:tc>
        <w:tc>
          <w:tcPr>
            <w:tcW w:w="8497" w:type="dxa"/>
            <w:tcBorders>
              <w:right w:val="nil"/>
            </w:tcBorders>
          </w:tcPr>
          <w:p w14:paraId="6583EB7C" w14:textId="77777777" w:rsidR="00C47BC8" w:rsidRDefault="00606574">
            <w:pPr>
              <w:pStyle w:val="TableParagraph"/>
              <w:ind w:left="107" w:right="101"/>
              <w:jc w:val="both"/>
              <w:rPr>
                <w:sz w:val="20"/>
              </w:rPr>
            </w:pPr>
            <w:r>
              <w:rPr>
                <w:sz w:val="18"/>
              </w:rPr>
              <w:t>Almeno il 20% del patrimonio del Fondo sarà investito in investimenti sostenibili. Tali investimenti sostenibili saranno investimenti sostenibili con un obiettivo ambientale non vincolato all’allineamento alla Tassonomia UE o con un obiettivo sociale (o una combinazione dei due). La combinazione di investimenti sostenibili con un obiettivo ambientale o sociale può variare nel tempo a seconda delle attività delle società incluse nell’Indice di Riferimento. La valutazione degli investimenti del Fondo che si q</w:t>
            </w:r>
            <w:r>
              <w:rPr>
                <w:sz w:val="18"/>
              </w:rPr>
              <w:t>ualificano come investimenti sostenibili viene determinata in occasione di ciascun ribilanciamento dell'indice, o in un periodo ad esso vicino, quando il portafoglio del Fondo viene ribilanciato in linea con il proprio Indice di Riferimento.</w:t>
            </w:r>
          </w:p>
        </w:tc>
      </w:tr>
      <w:tr w:rsidR="00C47BC8" w14:paraId="47166CFF" w14:textId="77777777">
        <w:trPr>
          <w:trHeight w:val="689"/>
        </w:trPr>
        <w:tc>
          <w:tcPr>
            <w:tcW w:w="2444" w:type="dxa"/>
            <w:tcBorders>
              <w:left w:val="nil"/>
            </w:tcBorders>
          </w:tcPr>
          <w:p w14:paraId="0E848931" w14:textId="77777777" w:rsidR="00C47BC8" w:rsidRDefault="00C47BC8">
            <w:pPr>
              <w:pStyle w:val="TableParagraph"/>
              <w:rPr>
                <w:rFonts w:ascii="Times New Roman"/>
                <w:sz w:val="18"/>
              </w:rPr>
            </w:pPr>
          </w:p>
        </w:tc>
        <w:tc>
          <w:tcPr>
            <w:tcW w:w="404" w:type="dxa"/>
          </w:tcPr>
          <w:p w14:paraId="0D8FD214" w14:textId="77777777" w:rsidR="00C47BC8" w:rsidRDefault="00C47BC8">
            <w:pPr>
              <w:pStyle w:val="TableParagraph"/>
              <w:rPr>
                <w:rFonts w:ascii="Times New Roman"/>
                <w:sz w:val="18"/>
              </w:rPr>
            </w:pPr>
          </w:p>
        </w:tc>
        <w:tc>
          <w:tcPr>
            <w:tcW w:w="8497" w:type="dxa"/>
            <w:tcBorders>
              <w:right w:val="nil"/>
            </w:tcBorders>
          </w:tcPr>
          <w:p w14:paraId="617B025C" w14:textId="77777777" w:rsidR="00C47BC8" w:rsidRDefault="00606574">
            <w:pPr>
              <w:pStyle w:val="TableParagraph"/>
              <w:ind w:left="851"/>
              <w:rPr>
                <w:b/>
                <w:sz w:val="20"/>
              </w:rPr>
            </w:pPr>
            <w:r>
              <w:rPr>
                <w:b/>
                <w:noProof/>
                <w:sz w:val="20"/>
              </w:rPr>
              <mc:AlternateContent>
                <mc:Choice Requires="wpg">
                  <w:drawing>
                    <wp:anchor distT="0" distB="0" distL="0" distR="0" simplePos="0" relativeHeight="251686912" behindDoc="1" locked="0" layoutInCell="1" allowOverlap="1" wp14:anchorId="7C2030F0" wp14:editId="7A024EE3">
                      <wp:simplePos x="0" y="0"/>
                      <wp:positionH relativeFrom="column">
                        <wp:posOffset>67563</wp:posOffset>
                      </wp:positionH>
                      <wp:positionV relativeFrom="paragraph">
                        <wp:posOffset>1395</wp:posOffset>
                      </wp:positionV>
                      <wp:extent cx="358775" cy="358775"/>
                      <wp:effectExtent l="0" t="0" r="0" b="0"/>
                      <wp:wrapNone/>
                      <wp:docPr id="74" name="Group 74"/>
                      <wp:cNvGraphicFramePr/>
                      <a:graphic xmlns:a="http://schemas.openxmlformats.org/drawingml/2006/main">
                        <a:graphicData uri="http://schemas.microsoft.com/office/word/2010/wordprocessingGroup">
                          <wpg:wgp>
                            <wpg:cNvGrpSpPr/>
                            <wpg:grpSpPr>
                              <a:xfrm>
                                <a:off x="0" y="0"/>
                                <a:ext cx="358775" cy="358775"/>
                                <a:chOff x="0" y="0"/>
                                <a:chExt cx="358775" cy="358775"/>
                              </a:xfrm>
                            </wpg:grpSpPr>
                            <pic:pic xmlns:pic="http://schemas.openxmlformats.org/drawingml/2006/picture">
                              <pic:nvPicPr>
                                <pic:cNvPr id="75" name="Image 75"/>
                                <pic:cNvPicPr/>
                              </pic:nvPicPr>
                              <pic:blipFill>
                                <a:blip r:embed="rId44" cstate="print"/>
                                <a:stretch>
                                  <a:fillRect/>
                                </a:stretch>
                              </pic:blipFill>
                              <pic:spPr>
                                <a:xfrm>
                                  <a:off x="0" y="0"/>
                                  <a:ext cx="358330" cy="358330"/>
                                </a:xfrm>
                                <a:prstGeom prst="rect">
                                  <a:avLst/>
                                </a:prstGeom>
                              </pic:spPr>
                            </pic:pic>
                          </wpg:wgp>
                        </a:graphicData>
                      </a:graphic>
                    </wp:anchor>
                  </w:drawing>
                </mc:Choice>
                <mc:Fallback>
                  <w:pict>
                    <v:group w14:anchorId="191C9063" id="Group 74" o:spid="_x0000_s1026" style="position:absolute;margin-left:5.3pt;margin-top:.1pt;width:28.25pt;height:28.25pt;z-index:-251629568;mso-wrap-distance-left:0;mso-wrap-distance-right:0" coordsize="358775,3587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">
                      <v:shape id="Image 75" o:spid="_x0000_s1027" type="#_x0000_t75" style="position:absolute;width:358330;height:3583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">
                        <v:imagedata r:id="rId45" o:title=""/>
                      </v:shape>
                    </v:group>
                  </w:pict>
                </mc:Fallback>
              </mc:AlternateContent>
            </w:r>
            <w:r>
              <w:rPr>
                <w:b/>
                <w:sz w:val="18"/>
              </w:rPr>
              <w:t>Quali investimenti sono inclusi nella categoria “#2 Altro”, qual è il loro scopo e esistono garanzie minime ambientali o sociali?</w:t>
            </w:r>
          </w:p>
        </w:tc>
      </w:tr>
      <w:tr w:rsidR="00C47BC8" w14:paraId="1B0FAC86" w14:textId="77777777">
        <w:trPr>
          <w:trHeight w:val="2160"/>
        </w:trPr>
        <w:tc>
          <w:tcPr>
            <w:tcW w:w="2444" w:type="dxa"/>
            <w:tcBorders>
              <w:left w:val="nil"/>
            </w:tcBorders>
          </w:tcPr>
          <w:p w14:paraId="426049DA" w14:textId="77777777" w:rsidR="00C47BC8" w:rsidRDefault="00C47BC8">
            <w:pPr>
              <w:pStyle w:val="TableParagraph"/>
              <w:rPr>
                <w:rFonts w:ascii="Times New Roman"/>
                <w:sz w:val="18"/>
              </w:rPr>
            </w:pPr>
          </w:p>
        </w:tc>
        <w:tc>
          <w:tcPr>
            <w:tcW w:w="404" w:type="dxa"/>
          </w:tcPr>
          <w:p w14:paraId="02FE1A86" w14:textId="77777777" w:rsidR="00C47BC8" w:rsidRDefault="00C47BC8">
            <w:pPr>
              <w:pStyle w:val="TableParagraph"/>
              <w:rPr>
                <w:rFonts w:ascii="Times New Roman"/>
                <w:sz w:val="18"/>
              </w:rPr>
            </w:pPr>
          </w:p>
        </w:tc>
        <w:tc>
          <w:tcPr>
            <w:tcW w:w="8497" w:type="dxa"/>
            <w:tcBorders>
              <w:right w:val="nil"/>
            </w:tcBorders>
          </w:tcPr>
          <w:p w14:paraId="694C307D" w14:textId="77777777" w:rsidR="00C47BC8" w:rsidRDefault="00606574">
            <w:pPr>
              <w:pStyle w:val="TableParagraph"/>
              <w:spacing w:before="5" w:line="249" w:lineRule="auto"/>
              <w:ind w:left="107" w:right="102"/>
              <w:jc w:val="both"/>
              <w:rPr>
                <w:sz w:val="20"/>
              </w:rPr>
            </w:pPr>
            <w:r>
              <w:rPr>
                <w:sz w:val="18"/>
              </w:rPr>
              <w:t>Altre partecipazioni possono includere liquidità, fondi del mercato monetario e derivati. Tali investimenti possono essere utilizzati solo ai fini di una gestione efficiente del portafoglio, ad eccezione dei derivati utilizzati per la copertura valutaria per qualsiasi classe di azioni con copertura valutaria.</w:t>
            </w:r>
          </w:p>
          <w:p w14:paraId="2AED12E4" w14:textId="77777777" w:rsidR="00C47BC8" w:rsidRDefault="00C47BC8">
            <w:pPr>
              <w:pStyle w:val="TableParagraph"/>
              <w:spacing w:before="12"/>
              <w:rPr>
                <w:sz w:val="20"/>
              </w:rPr>
            </w:pPr>
          </w:p>
          <w:p w14:paraId="63FA7963" w14:textId="77777777" w:rsidR="00C47BC8" w:rsidRDefault="00606574">
            <w:pPr>
              <w:pStyle w:val="TableParagraph"/>
              <w:spacing w:before="1" w:line="249" w:lineRule="auto"/>
              <w:ind w:left="107" w:right="101"/>
              <w:jc w:val="both"/>
              <w:rPr>
                <w:sz w:val="20"/>
              </w:rPr>
            </w:pPr>
            <w:r>
              <w:rPr>
                <w:sz w:val="18"/>
              </w:rPr>
              <w:t>Qualsiasi rating o analisi ESG applicata dal fornitore dell’indice si applicherà solo ai derivati relativi ai singoli emittenti utilizzati dal Fondo. I derivati basati su indici finanziari, tassi di interesse o strumenti di cambio non saranno valutati in base a requisiti minimi di tutela ambientale o sociale.</w:t>
            </w:r>
          </w:p>
        </w:tc>
      </w:tr>
      <w:tr w:rsidR="00C47BC8" w14:paraId="7EDF63F5" w14:textId="77777777">
        <w:trPr>
          <w:trHeight w:val="1007"/>
        </w:trPr>
        <w:tc>
          <w:tcPr>
            <w:tcW w:w="2444" w:type="dxa"/>
            <w:tcBorders>
              <w:left w:val="nil"/>
              <w:bottom w:val="nil"/>
            </w:tcBorders>
          </w:tcPr>
          <w:p w14:paraId="435A5730" w14:textId="77777777" w:rsidR="00C47BC8" w:rsidRDefault="00606574">
            <w:pPr>
              <w:pStyle w:val="TableParagraph"/>
              <w:ind w:left="228" w:right="-58"/>
              <w:rPr>
                <w:sz w:val="20"/>
              </w:rPr>
            </w:pPr>
            <w:r>
              <w:rPr>
                <w:noProof/>
                <w:sz w:val="20"/>
              </w:rPr>
              <w:drawing>
                <wp:inline distT="0" distB="0" distL="0" distR="0" wp14:anchorId="4599434A" wp14:editId="23B74C38">
                  <wp:extent cx="1408680" cy="495300"/>
                  <wp:effectExtent l="0" t="0" r="0" b="0"/>
                  <wp:docPr id="76" name="Image 76"/>
                  <wp:cNvGraphicFramePr/>
                  <a:graphic xmlns:a="http://schemas.openxmlformats.org/drawingml/2006/main">
                    <a:graphicData uri="http://schemas.openxmlformats.org/drawingml/2006/picture">
                      <pic:pic xmlns:pic="http://schemas.openxmlformats.org/drawingml/2006/picture">
                        <pic:nvPicPr>
                          <pic:cNvPr id="76" name="Image 76"/>
                          <pic:cNvPicPr/>
                        </pic:nvPicPr>
                        <pic:blipFill>
                          <a:blip r:embed="rId46" cstate="print"/>
                          <a:stretch>
                            <a:fillRect/>
                          </a:stretch>
                        </pic:blipFill>
                        <pic:spPr>
                          <a:xfrm>
                            <a:off x="0" y="0"/>
                            <a:ext cx="1408680" cy="495300"/>
                          </a:xfrm>
                          <a:prstGeom prst="rect">
                            <a:avLst/>
                          </a:prstGeom>
                        </pic:spPr>
                      </pic:pic>
                    </a:graphicData>
                  </a:graphic>
                </wp:inline>
              </w:drawing>
            </w:r>
          </w:p>
        </w:tc>
        <w:tc>
          <w:tcPr>
            <w:tcW w:w="404" w:type="dxa"/>
            <w:tcBorders>
              <w:bottom w:val="nil"/>
            </w:tcBorders>
          </w:tcPr>
          <w:p w14:paraId="7BCFA35A" w14:textId="77777777" w:rsidR="00C47BC8" w:rsidRDefault="00C47BC8">
            <w:pPr>
              <w:pStyle w:val="TableParagraph"/>
              <w:rPr>
                <w:rFonts w:ascii="Times New Roman"/>
                <w:sz w:val="18"/>
              </w:rPr>
            </w:pPr>
          </w:p>
        </w:tc>
        <w:tc>
          <w:tcPr>
            <w:tcW w:w="8497" w:type="dxa"/>
            <w:tcBorders>
              <w:bottom w:val="nil"/>
              <w:right w:val="nil"/>
            </w:tcBorders>
          </w:tcPr>
          <w:p w14:paraId="67BAA882" w14:textId="77777777" w:rsidR="00C47BC8" w:rsidRDefault="00606574">
            <w:pPr>
              <w:pStyle w:val="TableParagraph"/>
              <w:spacing w:before="230"/>
              <w:ind w:left="107" w:right="99"/>
              <w:jc w:val="both"/>
              <w:rPr>
                <w:b/>
                <w:sz w:val="20"/>
              </w:rPr>
            </w:pPr>
            <w:r>
              <w:rPr>
                <w:b/>
                <w:sz w:val="18"/>
              </w:rPr>
              <w:t>Esiste un indice specifico designato come benchmark di riferimento per determinare se questo prodotto finanziario è in linea con le caratteristiche ambientali e/o sociali che promuove?</w:t>
            </w:r>
          </w:p>
        </w:tc>
      </w:tr>
      <w:tr w:rsidR="00C47BC8" w14:paraId="39CCC2DC" w14:textId="77777777">
        <w:trPr>
          <w:trHeight w:val="1149"/>
        </w:trPr>
        <w:tc>
          <w:tcPr>
            <w:tcW w:w="2444" w:type="dxa"/>
            <w:vMerge w:val="restart"/>
            <w:tcBorders>
              <w:top w:val="nil"/>
              <w:bottom w:val="nil"/>
            </w:tcBorders>
            <w:shd w:val="clear" w:color="auto" w:fill="D9D9D9"/>
          </w:tcPr>
          <w:p w14:paraId="5B0A9AF3" w14:textId="77777777" w:rsidR="00C47BC8" w:rsidRDefault="00C47BC8">
            <w:pPr>
              <w:pStyle w:val="TableParagraph"/>
              <w:spacing w:before="206"/>
              <w:rPr>
                <w:sz w:val="18"/>
              </w:rPr>
            </w:pPr>
          </w:p>
          <w:p w14:paraId="40E73A50" w14:textId="77777777" w:rsidR="00C47BC8" w:rsidRDefault="00606574">
            <w:pPr>
              <w:pStyle w:val="TableParagraph"/>
              <w:ind w:left="260" w:right="101"/>
              <w:jc w:val="both"/>
              <w:rPr>
                <w:sz w:val="18"/>
              </w:rPr>
            </w:pPr>
            <w:r>
              <w:rPr>
                <w:b/>
                <w:sz w:val="16"/>
              </w:rPr>
              <w:t xml:space="preserve">I benchmark di riferimento </w:t>
            </w:r>
            <w:r>
              <w:rPr>
                <w:sz w:val="16"/>
              </w:rPr>
              <w:t>sono indici che misurano se il prodotto finanziario raggiunge le caratteristiche ambientali o sociali che essi</w:t>
            </w:r>
          </w:p>
          <w:p w14:paraId="01B4E755" w14:textId="77777777" w:rsidR="00C47BC8" w:rsidRDefault="00606574">
            <w:pPr>
              <w:pStyle w:val="TableParagraph"/>
              <w:spacing w:line="189" w:lineRule="exact"/>
              <w:ind w:left="260"/>
              <w:rPr>
                <w:sz w:val="18"/>
              </w:rPr>
            </w:pPr>
            <w:r>
              <w:rPr>
                <w:spacing w:val="-2"/>
                <w:sz w:val="16"/>
              </w:rPr>
              <w:t>promuove.</w:t>
            </w:r>
          </w:p>
        </w:tc>
        <w:tc>
          <w:tcPr>
            <w:tcW w:w="404" w:type="dxa"/>
            <w:tcBorders>
              <w:top w:val="nil"/>
            </w:tcBorders>
          </w:tcPr>
          <w:p w14:paraId="141B5A4F" w14:textId="77777777" w:rsidR="00C47BC8" w:rsidRDefault="00C47BC8">
            <w:pPr>
              <w:pStyle w:val="TableParagraph"/>
              <w:rPr>
                <w:rFonts w:ascii="Times New Roman"/>
                <w:sz w:val="18"/>
              </w:rPr>
            </w:pPr>
          </w:p>
        </w:tc>
        <w:tc>
          <w:tcPr>
            <w:tcW w:w="8497" w:type="dxa"/>
            <w:tcBorders>
              <w:top w:val="nil"/>
            </w:tcBorders>
          </w:tcPr>
          <w:p w14:paraId="7864458A" w14:textId="77777777" w:rsidR="00C47BC8" w:rsidRDefault="00606574">
            <w:pPr>
              <w:pStyle w:val="TableParagraph"/>
              <w:spacing w:before="1"/>
              <w:ind w:left="107" w:right="99"/>
              <w:jc w:val="both"/>
              <w:rPr>
                <w:sz w:val="20"/>
              </w:rPr>
            </w:pPr>
            <w:r>
              <w:rPr>
                <w:sz w:val="18"/>
              </w:rPr>
              <w:t>Sì, il Fondo cerca di raggiungere le caratteristiche ambientali e sociali che promuove replicando la performance dello STOXX Global AI Infrastructure Index, il suo Indice di Riferimento, che incorpora i criteri di selezione ESG del fornitore dell’indice.</w:t>
            </w:r>
          </w:p>
        </w:tc>
      </w:tr>
      <w:tr w:rsidR="00C47BC8" w14:paraId="155E0867" w14:textId="77777777">
        <w:trPr>
          <w:trHeight w:val="704"/>
        </w:trPr>
        <w:tc>
          <w:tcPr>
            <w:tcW w:w="2444" w:type="dxa"/>
            <w:vMerge/>
            <w:tcBorders>
              <w:top w:val="nil"/>
              <w:bottom w:val="nil"/>
            </w:tcBorders>
            <w:shd w:val="clear" w:color="auto" w:fill="D9D9D9"/>
          </w:tcPr>
          <w:p w14:paraId="7F5C31FB" w14:textId="77777777" w:rsidR="00C47BC8" w:rsidRDefault="00C47BC8">
            <w:pPr>
              <w:rPr>
                <w:sz w:val="2"/>
                <w:szCs w:val="2"/>
              </w:rPr>
            </w:pPr>
          </w:p>
        </w:tc>
        <w:tc>
          <w:tcPr>
            <w:tcW w:w="404" w:type="dxa"/>
            <w:tcBorders>
              <w:bottom w:val="nil"/>
            </w:tcBorders>
          </w:tcPr>
          <w:p w14:paraId="0EF67601" w14:textId="77777777" w:rsidR="00C47BC8" w:rsidRDefault="00C47BC8">
            <w:pPr>
              <w:pStyle w:val="TableParagraph"/>
              <w:rPr>
                <w:rFonts w:ascii="Times New Roman"/>
                <w:sz w:val="18"/>
              </w:rPr>
            </w:pPr>
          </w:p>
        </w:tc>
        <w:tc>
          <w:tcPr>
            <w:tcW w:w="8497" w:type="dxa"/>
            <w:tcBorders>
              <w:bottom w:val="nil"/>
            </w:tcBorders>
          </w:tcPr>
          <w:p w14:paraId="2019B5BE" w14:textId="77777777" w:rsidR="00C47BC8" w:rsidRDefault="00606574">
            <w:pPr>
              <w:pStyle w:val="TableParagraph"/>
              <w:ind w:left="447" w:hanging="342"/>
              <w:rPr>
                <w:b/>
                <w:i/>
                <w:sz w:val="20"/>
              </w:rPr>
            </w:pPr>
            <w:r>
              <w:rPr>
                <w:noProof/>
                <w:position w:val="-2"/>
              </w:rPr>
              <w:drawing>
                <wp:inline distT="0" distB="0" distL="0" distR="0" wp14:anchorId="49F3CE1E" wp14:editId="29374392">
                  <wp:extent cx="130175" cy="130175"/>
                  <wp:effectExtent l="0" t="0" r="0" b="0"/>
                  <wp:docPr id="77" name="Image 77"/>
                  <wp:cNvGraphicFramePr/>
                  <a:graphic xmlns:a="http://schemas.openxmlformats.org/drawingml/2006/main">
                    <a:graphicData uri="http://schemas.openxmlformats.org/drawingml/2006/picture">
                      <pic:pic xmlns:pic="http://schemas.openxmlformats.org/drawingml/2006/picture">
                        <pic:nvPicPr>
                          <pic:cNvPr id="77" name="Image 77"/>
                          <pic:cNvPicPr/>
                        </pic:nvPicPr>
                        <pic:blipFill>
                          <a:blip r:embed="rId37" cstate="print"/>
                          <a:stretch>
                            <a:fillRect/>
                          </a:stretch>
                        </pic:blipFill>
                        <pic:spPr>
                          <a:xfrm>
                            <a:off x="0" y="0"/>
                            <a:ext cx="130175" cy="130175"/>
                          </a:xfrm>
                          <a:prstGeom prst="rect">
                            <a:avLst/>
                          </a:prstGeom>
                        </pic:spPr>
                      </pic:pic>
                    </a:graphicData>
                  </a:graphic>
                </wp:inline>
              </w:drawing>
            </w:r>
            <w:r>
              <w:rPr>
                <w:rFonts w:ascii="Times New Roman"/>
                <w:sz w:val="18"/>
              </w:rPr>
              <w:t xml:space="preserve"> </w:t>
            </w:r>
            <w:r>
              <w:rPr>
                <w:b/>
                <w:i/>
                <w:sz w:val="18"/>
              </w:rPr>
              <w:t>In che modo il benchmark di riferimento è costantemente allineato a ciascuna delle caratteristiche ambientali o sociali promosse dal prodotto finanziario?</w:t>
            </w:r>
          </w:p>
        </w:tc>
      </w:tr>
      <w:tr w:rsidR="00C47BC8" w14:paraId="1422A7EC" w14:textId="77777777">
        <w:trPr>
          <w:trHeight w:val="1144"/>
        </w:trPr>
        <w:tc>
          <w:tcPr>
            <w:tcW w:w="2444" w:type="dxa"/>
            <w:tcBorders>
              <w:top w:val="nil"/>
              <w:bottom w:val="nil"/>
            </w:tcBorders>
            <w:shd w:val="clear" w:color="auto" w:fill="D9D9D9"/>
          </w:tcPr>
          <w:p w14:paraId="53750ABE" w14:textId="77777777" w:rsidR="00C47BC8" w:rsidRDefault="00C47BC8">
            <w:pPr>
              <w:pStyle w:val="TableParagraph"/>
              <w:rPr>
                <w:rFonts w:ascii="Times New Roman"/>
                <w:sz w:val="18"/>
              </w:rPr>
            </w:pPr>
          </w:p>
        </w:tc>
        <w:tc>
          <w:tcPr>
            <w:tcW w:w="404" w:type="dxa"/>
            <w:tcBorders>
              <w:top w:val="nil"/>
            </w:tcBorders>
          </w:tcPr>
          <w:p w14:paraId="4C2A051F" w14:textId="77777777" w:rsidR="00C47BC8" w:rsidRDefault="00C47BC8">
            <w:pPr>
              <w:pStyle w:val="TableParagraph"/>
              <w:rPr>
                <w:rFonts w:ascii="Times New Roman"/>
                <w:sz w:val="18"/>
              </w:rPr>
            </w:pPr>
          </w:p>
        </w:tc>
        <w:tc>
          <w:tcPr>
            <w:tcW w:w="8497" w:type="dxa"/>
            <w:tcBorders>
              <w:top w:val="nil"/>
            </w:tcBorders>
          </w:tcPr>
          <w:p w14:paraId="031357E6" w14:textId="77777777" w:rsidR="00C47BC8" w:rsidRDefault="00606574">
            <w:pPr>
              <w:pStyle w:val="TableParagraph"/>
              <w:ind w:left="107" w:right="95"/>
              <w:jc w:val="both"/>
              <w:rPr>
                <w:sz w:val="20"/>
              </w:rPr>
            </w:pPr>
            <w:r>
              <w:rPr>
                <w:noProof/>
                <w:sz w:val="20"/>
              </w:rPr>
              <mc:AlternateContent>
                <mc:Choice Requires="wpg">
                  <w:drawing>
                    <wp:anchor distT="0" distB="0" distL="0" distR="0" simplePos="0" relativeHeight="251684864" behindDoc="1" locked="0" layoutInCell="1" allowOverlap="1" wp14:anchorId="4827F661" wp14:editId="4023C5DF">
                      <wp:simplePos x="0" y="0"/>
                      <wp:positionH relativeFrom="column">
                        <wp:posOffset>-256032</wp:posOffset>
                      </wp:positionH>
                      <wp:positionV relativeFrom="paragraph">
                        <wp:posOffset>-152909</wp:posOffset>
                      </wp:positionV>
                      <wp:extent cx="5648960" cy="6350"/>
                      <wp:effectExtent l="0" t="0" r="0" b="0"/>
                      <wp:wrapNone/>
                      <wp:docPr id="78" name="Group 78"/>
                      <wp:cNvGraphicFramePr/>
                      <a:graphic xmlns:a="http://schemas.openxmlformats.org/drawingml/2006/main">
                        <a:graphicData uri="http://schemas.microsoft.com/office/word/2010/wordprocessingGroup">
                          <wpg:wgp>
                            <wpg:cNvGrpSpPr/>
                            <wpg:grpSpPr>
                              <a:xfrm>
                                <a:off x="0" y="0"/>
                                <a:ext cx="5648960" cy="6350"/>
                                <a:chOff x="0" y="0"/>
                                <a:chExt cx="5648960" cy="6350"/>
                              </a:xfrm>
                            </wpg:grpSpPr>
                            <wps:wsp>
                              <wps:cNvPr id="79" name="Graphic 79"/>
                              <wps:cNvSpPr/>
                              <wps:spPr>
                                <a:xfrm>
                                  <a:off x="0" y="12"/>
                                  <a:ext cx="5648960" cy="6350"/>
                                </a:xfrm>
                                <a:custGeom>
                                  <a:avLst/>
                                  <a:gdLst/>
                                  <a:ahLst/>
                                  <a:cxnLst/>
                                  <a:rect l="l" t="t" r="r" b="b"/>
                                  <a:pathLst>
                                    <a:path w="5648960" h="6350">
                                      <a:moveTo>
                                        <a:pt x="252984" y="0"/>
                                      </a:moveTo>
                                      <a:lnTo>
                                        <a:pt x="0" y="0"/>
                                      </a:lnTo>
                                      <a:lnTo>
                                        <a:pt x="0" y="6083"/>
                                      </a:lnTo>
                                      <a:lnTo>
                                        <a:pt x="252984" y="6083"/>
                                      </a:lnTo>
                                      <a:lnTo>
                                        <a:pt x="252984" y="0"/>
                                      </a:lnTo>
                                      <a:close/>
                                    </a:path>
                                    <a:path w="5648960" h="6350">
                                      <a:moveTo>
                                        <a:pt x="5648960" y="0"/>
                                      </a:moveTo>
                                      <a:lnTo>
                                        <a:pt x="259080" y="0"/>
                                      </a:lnTo>
                                      <a:lnTo>
                                        <a:pt x="259080" y="6083"/>
                                      </a:lnTo>
                                      <a:lnTo>
                                        <a:pt x="5648960" y="6083"/>
                                      </a:lnTo>
                                      <a:lnTo>
                                        <a:pt x="5648960" y="0"/>
                                      </a:lnTo>
                                      <a:close/>
                                    </a:path>
                                  </a:pathLst>
                                </a:custGeom>
                                <a:solidFill>
                                  <a:srgbClr val="E8E8E8"/>
                                </a:solidFill>
                              </wps:spPr>
                              <wps:bodyPr wrap="square" lIns="0" tIns="0" rIns="0" bIns="0" rtlCol="0">
                                <a:prstTxWarp prst="textNoShape">
                                  <a:avLst/>
                                </a:prstTxWarp>
                              </wps:bodyPr>
                            </wps:wsp>
                          </wpg:wgp>
                        </a:graphicData>
                      </a:graphic>
                    </wp:anchor>
                  </w:drawing>
                </mc:Choice>
                <mc:Fallback>
                  <w:pict>
                    <v:group w14:anchorId="03F273C8" id="Group 78" o:spid="_x0000_s1026" style="position:absolute;margin-left:-20.15pt;margin-top:-12.05pt;width:444.8pt;height:.5pt;z-index:-251631616;mso-wrap-distance-left:0;mso-wrap-distance-right:0" coordsize="5648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">
                      <v:shape id="Graphic 79" o:spid="_x0000_s1027" style="position:absolute;width:56489;height:63;visibility:visible;mso-wrap-style:square;v-text-anchor:top" coordsize="564896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" path="m252984,l,,,6083r252984,l252984,xem5648960,l259080,r,6083l5648960,6083r,-6083xe" fillcolor="#e8e8e8" stroked="f">
                        <v:path arrowok="t"/>
                      </v:shape>
                    </v:group>
                  </w:pict>
                </mc:Fallback>
              </mc:AlternateContent>
            </w:r>
            <w:r>
              <w:rPr>
                <w:sz w:val="18"/>
              </w:rPr>
              <w:t>I criteri di selezione ESG dell’Indice di Riferimento vengono applicati dal fornitore dell’indice su base trimestrale, fatta eccezione per l’esclusione degli emittenti coinvolti nelle seguenti attività, che verrà applicata dal fornitore dell’indice su base annuale: armi controverse, armi leggere, appalti militari, produzione e distribuzione di tabacco, petrolio e gas non convenzionali,</w:t>
            </w:r>
          </w:p>
          <w:p w14:paraId="181FB9AC" w14:textId="77777777" w:rsidR="00C47BC8" w:rsidRDefault="00606574">
            <w:pPr>
              <w:pStyle w:val="TableParagraph"/>
              <w:spacing w:line="209" w:lineRule="exact"/>
              <w:ind w:left="107"/>
              <w:jc w:val="both"/>
              <w:rPr>
                <w:sz w:val="20"/>
              </w:rPr>
            </w:pPr>
            <w:r>
              <w:rPr>
                <w:sz w:val="18"/>
              </w:rPr>
              <w:t>petrolio e gas convenzionali, carbone termico ed energia nucleare.</w:t>
            </w:r>
          </w:p>
        </w:tc>
      </w:tr>
      <w:tr w:rsidR="00C47BC8" w14:paraId="743F3918" w14:textId="77777777">
        <w:trPr>
          <w:trHeight w:val="460"/>
        </w:trPr>
        <w:tc>
          <w:tcPr>
            <w:tcW w:w="2444" w:type="dxa"/>
            <w:tcBorders>
              <w:top w:val="nil"/>
              <w:bottom w:val="nil"/>
            </w:tcBorders>
            <w:shd w:val="clear" w:color="auto" w:fill="D9D9D9"/>
          </w:tcPr>
          <w:p w14:paraId="1090C834" w14:textId="77777777" w:rsidR="00C47BC8" w:rsidRDefault="00C47BC8">
            <w:pPr>
              <w:pStyle w:val="TableParagraph"/>
              <w:rPr>
                <w:rFonts w:ascii="Times New Roman"/>
                <w:sz w:val="18"/>
              </w:rPr>
            </w:pPr>
          </w:p>
        </w:tc>
        <w:tc>
          <w:tcPr>
            <w:tcW w:w="404" w:type="dxa"/>
          </w:tcPr>
          <w:p w14:paraId="1D5D2099" w14:textId="77777777" w:rsidR="00C47BC8" w:rsidRDefault="00C47BC8">
            <w:pPr>
              <w:pStyle w:val="TableParagraph"/>
              <w:rPr>
                <w:rFonts w:ascii="Times New Roman"/>
                <w:sz w:val="18"/>
              </w:rPr>
            </w:pPr>
          </w:p>
        </w:tc>
        <w:tc>
          <w:tcPr>
            <w:tcW w:w="8497" w:type="dxa"/>
          </w:tcPr>
          <w:p w14:paraId="18B85FC8" w14:textId="77777777" w:rsidR="00C47BC8" w:rsidRDefault="00606574">
            <w:pPr>
              <w:pStyle w:val="TableParagraph"/>
              <w:spacing w:line="230" w:lineRule="exact"/>
              <w:ind w:left="491" w:hanging="386"/>
              <w:rPr>
                <w:b/>
                <w:i/>
                <w:sz w:val="20"/>
              </w:rPr>
            </w:pPr>
            <w:r>
              <w:rPr>
                <w:noProof/>
                <w:position w:val="-4"/>
              </w:rPr>
              <w:drawing>
                <wp:inline distT="0" distB="0" distL="0" distR="0" wp14:anchorId="376AE5A9" wp14:editId="1AF96295">
                  <wp:extent cx="130175" cy="130175"/>
                  <wp:effectExtent l="0" t="0" r="0" b="0"/>
                  <wp:docPr id="80" name="Image 80"/>
                  <wp:cNvGraphicFramePr/>
                  <a:graphic xmlns:a="http://schemas.openxmlformats.org/drawingml/2006/main">
                    <a:graphicData uri="http://schemas.openxmlformats.org/drawingml/2006/picture">
                      <pic:pic xmlns:pic="http://schemas.openxmlformats.org/drawingml/2006/picture">
                        <pic:nvPicPr>
                          <pic:cNvPr id="80" name="Image 80"/>
                          <pic:cNvPicPr/>
                        </pic:nvPicPr>
                        <pic:blipFill>
                          <a:blip r:embed="rId47" cstate="print"/>
                          <a:stretch>
                            <a:fillRect/>
                          </a:stretch>
                        </pic:blipFill>
                        <pic:spPr>
                          <a:xfrm>
                            <a:off x="0" y="0"/>
                            <a:ext cx="130175" cy="130175"/>
                          </a:xfrm>
                          <a:prstGeom prst="rect">
                            <a:avLst/>
                          </a:prstGeom>
                        </pic:spPr>
                      </pic:pic>
                    </a:graphicData>
                  </a:graphic>
                </wp:inline>
              </w:drawing>
            </w:r>
            <w:r>
              <w:rPr>
                <w:rFonts w:ascii="Times New Roman"/>
                <w:sz w:val="18"/>
              </w:rPr>
              <w:t xml:space="preserve"> </w:t>
            </w:r>
            <w:r>
              <w:rPr>
                <w:b/>
                <w:i/>
                <w:sz w:val="18"/>
              </w:rPr>
              <w:t>Come viene garantito su base continua l’allineamento della strategia di investimento con la metodologia dell’indice?</w:t>
            </w:r>
          </w:p>
        </w:tc>
      </w:tr>
      <w:tr w:rsidR="00C47BC8" w14:paraId="78F6C56B" w14:textId="77777777">
        <w:trPr>
          <w:trHeight w:val="689"/>
        </w:trPr>
        <w:tc>
          <w:tcPr>
            <w:tcW w:w="2444" w:type="dxa"/>
            <w:tcBorders>
              <w:top w:val="nil"/>
            </w:tcBorders>
            <w:shd w:val="clear" w:color="auto" w:fill="D9D9D9"/>
          </w:tcPr>
          <w:p w14:paraId="387E4BD3" w14:textId="77777777" w:rsidR="00C47BC8" w:rsidRDefault="00C47BC8">
            <w:pPr>
              <w:pStyle w:val="TableParagraph"/>
              <w:rPr>
                <w:rFonts w:ascii="Times New Roman"/>
                <w:sz w:val="18"/>
              </w:rPr>
            </w:pPr>
          </w:p>
        </w:tc>
        <w:tc>
          <w:tcPr>
            <w:tcW w:w="404" w:type="dxa"/>
          </w:tcPr>
          <w:p w14:paraId="602FAC1A" w14:textId="77777777" w:rsidR="00C47BC8" w:rsidRDefault="00C47BC8">
            <w:pPr>
              <w:pStyle w:val="TableParagraph"/>
              <w:rPr>
                <w:rFonts w:ascii="Times New Roman"/>
                <w:sz w:val="18"/>
              </w:rPr>
            </w:pPr>
          </w:p>
        </w:tc>
        <w:tc>
          <w:tcPr>
            <w:tcW w:w="8497" w:type="dxa"/>
          </w:tcPr>
          <w:p w14:paraId="1FEA421B" w14:textId="77777777" w:rsidR="00C47BC8" w:rsidRDefault="00606574">
            <w:pPr>
              <w:pStyle w:val="TableParagraph"/>
              <w:ind w:left="107"/>
              <w:rPr>
                <w:sz w:val="20"/>
              </w:rPr>
            </w:pPr>
            <w:r>
              <w:rPr>
                <w:sz w:val="18"/>
              </w:rPr>
              <w:t>Ad ogni ribilanciamento dell'indice (o non appena ragionevolmente possibile e praticabile in seguito), anche il portafoglio del Fondo viene ribilanciato in linea con il proprio Indice di Riferimento.</w:t>
            </w:r>
          </w:p>
        </w:tc>
      </w:tr>
      <w:tr w:rsidR="00C47BC8" w14:paraId="7DB63C12" w14:textId="77777777">
        <w:trPr>
          <w:trHeight w:val="293"/>
        </w:trPr>
        <w:tc>
          <w:tcPr>
            <w:tcW w:w="2444" w:type="dxa"/>
          </w:tcPr>
          <w:p w14:paraId="2E00A23E" w14:textId="77777777" w:rsidR="00C47BC8" w:rsidRDefault="00C47BC8">
            <w:pPr>
              <w:pStyle w:val="TableParagraph"/>
              <w:rPr>
                <w:rFonts w:ascii="Times New Roman"/>
                <w:sz w:val="18"/>
              </w:rPr>
            </w:pPr>
          </w:p>
        </w:tc>
        <w:tc>
          <w:tcPr>
            <w:tcW w:w="404" w:type="dxa"/>
          </w:tcPr>
          <w:p w14:paraId="695CEE7A" w14:textId="77777777" w:rsidR="00C47BC8" w:rsidRDefault="00C47BC8">
            <w:pPr>
              <w:pStyle w:val="TableParagraph"/>
              <w:rPr>
                <w:rFonts w:ascii="Times New Roman"/>
                <w:sz w:val="18"/>
              </w:rPr>
            </w:pPr>
          </w:p>
        </w:tc>
        <w:tc>
          <w:tcPr>
            <w:tcW w:w="8497" w:type="dxa"/>
          </w:tcPr>
          <w:p w14:paraId="2D35A2E0" w14:textId="77777777" w:rsidR="00C47BC8" w:rsidRDefault="00606574">
            <w:pPr>
              <w:pStyle w:val="TableParagraph"/>
              <w:ind w:left="491"/>
              <w:rPr>
                <w:b/>
                <w:i/>
                <w:sz w:val="20"/>
              </w:rPr>
            </w:pPr>
            <w:r>
              <w:rPr>
                <w:b/>
                <w:i/>
                <w:noProof/>
                <w:sz w:val="20"/>
              </w:rPr>
              <mc:AlternateContent>
                <mc:Choice Requires="wpg">
                  <w:drawing>
                    <wp:anchor distT="0" distB="0" distL="0" distR="0" simplePos="0" relativeHeight="251688960" behindDoc="1" locked="0" layoutInCell="1" allowOverlap="1" wp14:anchorId="6C47ADF7" wp14:editId="14E9D3A5">
                      <wp:simplePos x="0" y="0"/>
                      <wp:positionH relativeFrom="column">
                        <wp:posOffset>67563</wp:posOffset>
                      </wp:positionH>
                      <wp:positionV relativeFrom="paragraph">
                        <wp:posOffset>-509</wp:posOffset>
                      </wp:positionV>
                      <wp:extent cx="130175" cy="130175"/>
                      <wp:effectExtent l="0" t="0" r="0" b="0"/>
                      <wp:wrapNone/>
                      <wp:docPr id="81" name="Group 81"/>
                      <wp:cNvGraphicFramePr/>
                      <a:graphic xmlns:a="http://schemas.openxmlformats.org/drawingml/2006/main">
                        <a:graphicData uri="http://schemas.microsoft.com/office/word/2010/wordprocessingGroup">
                          <wpg:wgp>
                            <wpg:cNvGrpSpPr/>
                            <wpg:grpSpPr>
                              <a:xfrm>
                                <a:off x="0" y="0"/>
                                <a:ext cx="130175" cy="130175"/>
                                <a:chOff x="0" y="0"/>
                                <a:chExt cx="130175" cy="130175"/>
                              </a:xfrm>
                            </wpg:grpSpPr>
                            <pic:pic xmlns:pic="http://schemas.openxmlformats.org/drawingml/2006/picture">
                              <pic:nvPicPr>
                                <pic:cNvPr id="82" name="Image 82"/>
                                <pic:cNvPicPr/>
                              </pic:nvPicPr>
                              <pic:blipFill>
                                <a:blip r:embed="rId14" cstate="print"/>
                                <a:stretch>
                                  <a:fillRect/>
                                </a:stretch>
                              </pic:blipFill>
                              <pic:spPr>
                                <a:xfrm>
                                  <a:off x="0" y="0"/>
                                  <a:ext cx="130175" cy="130175"/>
                                </a:xfrm>
                                <a:prstGeom prst="rect">
                                  <a:avLst/>
                                </a:prstGeom>
                              </pic:spPr>
                            </pic:pic>
                          </wpg:wgp>
                        </a:graphicData>
                      </a:graphic>
                    </wp:anchor>
                  </w:drawing>
                </mc:Choice>
                <mc:Fallback>
                  <w:pict>
                    <v:group w14:anchorId="34C3F78A" id="Group 81" o:spid="_x0000_s1026" style="position:absolute;margin-left:5.3pt;margin-top:-.05pt;width:10.25pt;height:10.25pt;z-index:-251627520;mso-wrap-distance-left:0;mso-wrap-distance-right:0" coordsize="130175,1301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">
                      <v:shape id="Image 82" o:spid="_x0000_s1027" type="#_x0000_t75" style="position:absolute;width:130175;height:1301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">
                        <v:imagedata r:id="rId48" o:title=""/>
                      </v:shape>
                    </v:group>
                  </w:pict>
                </mc:Fallback>
              </mc:AlternateContent>
            </w:r>
            <w:r>
              <w:rPr>
                <w:b/>
                <w:i/>
                <w:sz w:val="18"/>
              </w:rPr>
              <w:t>In che modo l’indice designato differisce da un indice di mercato ampio di riferimento?</w:t>
            </w:r>
          </w:p>
        </w:tc>
      </w:tr>
      <w:tr w:rsidR="00C47BC8" w14:paraId="59B54E95" w14:textId="77777777">
        <w:trPr>
          <w:trHeight w:val="1150"/>
        </w:trPr>
        <w:tc>
          <w:tcPr>
            <w:tcW w:w="2444" w:type="dxa"/>
          </w:tcPr>
          <w:p w14:paraId="532B706E" w14:textId="77777777" w:rsidR="00C47BC8" w:rsidRDefault="00C47BC8">
            <w:pPr>
              <w:pStyle w:val="TableParagraph"/>
              <w:rPr>
                <w:rFonts w:ascii="Times New Roman"/>
                <w:sz w:val="18"/>
              </w:rPr>
            </w:pPr>
          </w:p>
        </w:tc>
        <w:tc>
          <w:tcPr>
            <w:tcW w:w="404" w:type="dxa"/>
          </w:tcPr>
          <w:p w14:paraId="44850966" w14:textId="77777777" w:rsidR="00C47BC8" w:rsidRDefault="00C47BC8">
            <w:pPr>
              <w:pStyle w:val="TableParagraph"/>
              <w:rPr>
                <w:rFonts w:ascii="Times New Roman"/>
                <w:sz w:val="18"/>
              </w:rPr>
            </w:pPr>
          </w:p>
        </w:tc>
        <w:tc>
          <w:tcPr>
            <w:tcW w:w="8497" w:type="dxa"/>
          </w:tcPr>
          <w:p w14:paraId="3EC654F0" w14:textId="77777777" w:rsidR="00C47BC8" w:rsidRDefault="00606574">
            <w:pPr>
              <w:pStyle w:val="TableParagraph"/>
              <w:ind w:left="107" w:right="97"/>
              <w:jc w:val="both"/>
              <w:rPr>
                <w:sz w:val="20"/>
              </w:rPr>
            </w:pPr>
            <w:r>
              <w:rPr>
                <w:sz w:val="18"/>
              </w:rPr>
              <w:t>L'Indice di Riferimento esclude dall'indice STOXX World AC Universal All Cap, che è un indice di mercato ampio, gli emittenti che non soddisfano i suoi criteri di selezione ESG. I criteri di selezione ESG che determinano l'esclusione sono indicati sopra (vedere Quali caratteristiche ambientali e/o sociali sono promosse da questo prodotto finanziario?).</w:t>
            </w:r>
          </w:p>
        </w:tc>
      </w:tr>
    </w:tbl>
    <w:p w14:paraId="1B948A57" w14:textId="77777777" w:rsidR="00C47BC8" w:rsidRDefault="00C47BC8">
      <w:pPr>
        <w:pStyle w:val="TableParagraph"/>
        <w:jc w:val="both"/>
        <w:rPr>
          <w:sz w:val="20"/>
        </w:rPr>
        <w:sectPr w:rsidR="00C47BC8">
          <w:pgSz w:w="11910" w:h="16840"/>
          <w:pgMar w:top="1380" w:right="425" w:bottom="800" w:left="0" w:header="0" w:footer="617" w:gutter="0"/>
          <w:cols w:space="708"/>
        </w:sectPr>
      </w:pPr>
    </w:p>
    <w:p w14:paraId="2C8BE7C6" w14:textId="77777777" w:rsidR="00C47BC8" w:rsidRDefault="00C47BC8">
      <w:pPr>
        <w:pStyle w:val="Corpotesto"/>
        <w:rPr>
          <w:sz w:val="2"/>
        </w:rPr>
      </w:pPr>
    </w:p>
    <w:tbl>
      <w:tblPr>
        <w:tblStyle w:val="TableNormal"/>
        <w:tblW w:w="0" w:type="auto"/>
        <w:tblInd w:w="26" w:type="dxa"/>
        <w:tblBorders>
          <w:top w:val="single" w:sz="4" w:space="0" w:color="E8E8E8"/>
          <w:left w:val="single" w:sz="4" w:space="0" w:color="E8E8E8"/>
          <w:bottom w:val="single" w:sz="4" w:space="0" w:color="E8E8E8"/>
          <w:right w:val="single" w:sz="4" w:space="0" w:color="E8E8E8"/>
          <w:insideH w:val="single" w:sz="4" w:space="0" w:color="E8E8E8"/>
          <w:insideV w:val="single" w:sz="4" w:space="0" w:color="E8E8E8"/>
        </w:tblBorders>
        <w:tblLayout w:type="fixed"/>
        <w:tblLook w:val="01E0" w:firstRow="1" w:lastRow="1" w:firstColumn="1" w:lastColumn="1" w:noHBand="0" w:noVBand="0"/>
      </w:tblPr>
      <w:tblGrid>
        <w:gridCol w:w="2440"/>
        <w:gridCol w:w="408"/>
        <w:gridCol w:w="8498"/>
      </w:tblGrid>
      <w:tr w:rsidR="00C47BC8" w14:paraId="2B4878A6" w14:textId="77777777">
        <w:trPr>
          <w:trHeight w:val="459"/>
        </w:trPr>
        <w:tc>
          <w:tcPr>
            <w:tcW w:w="2440" w:type="dxa"/>
          </w:tcPr>
          <w:p w14:paraId="0E476B4D" w14:textId="77777777" w:rsidR="00C47BC8" w:rsidRDefault="00C47BC8">
            <w:pPr>
              <w:pStyle w:val="TableParagraph"/>
              <w:rPr>
                <w:rFonts w:ascii="Times New Roman"/>
                <w:sz w:val="18"/>
              </w:rPr>
            </w:pPr>
          </w:p>
        </w:tc>
        <w:tc>
          <w:tcPr>
            <w:tcW w:w="408" w:type="dxa"/>
          </w:tcPr>
          <w:p w14:paraId="64EC30AD" w14:textId="77777777" w:rsidR="00C47BC8" w:rsidRDefault="00C47BC8">
            <w:pPr>
              <w:pStyle w:val="TableParagraph"/>
              <w:rPr>
                <w:rFonts w:ascii="Times New Roman"/>
                <w:sz w:val="18"/>
              </w:rPr>
            </w:pPr>
          </w:p>
        </w:tc>
        <w:tc>
          <w:tcPr>
            <w:tcW w:w="8498" w:type="dxa"/>
          </w:tcPr>
          <w:p w14:paraId="54145688" w14:textId="77777777" w:rsidR="00C47BC8" w:rsidRDefault="00606574">
            <w:pPr>
              <w:pStyle w:val="TableParagraph"/>
              <w:spacing w:line="230" w:lineRule="exact"/>
              <w:ind w:left="447" w:hanging="342"/>
              <w:rPr>
                <w:b/>
                <w:i/>
                <w:sz w:val="20"/>
              </w:rPr>
            </w:pPr>
            <w:r>
              <w:rPr>
                <w:noProof/>
                <w:position w:val="-3"/>
              </w:rPr>
              <w:drawing>
                <wp:inline distT="0" distB="0" distL="0" distR="0" wp14:anchorId="69691E9B" wp14:editId="00C80CF5">
                  <wp:extent cx="130175" cy="130175"/>
                  <wp:effectExtent l="0" t="0" r="0" b="0"/>
                  <wp:docPr id="83" name="Image 83"/>
                  <wp:cNvGraphicFramePr/>
                  <a:graphic xmlns:a="http://schemas.openxmlformats.org/drawingml/2006/main">
                    <a:graphicData uri="http://schemas.openxmlformats.org/drawingml/2006/picture">
                      <pic:pic xmlns:pic="http://schemas.openxmlformats.org/drawingml/2006/picture">
                        <pic:nvPicPr>
                          <pic:cNvPr id="83" name="Image 83"/>
                          <pic:cNvPicPr/>
                        </pic:nvPicPr>
                        <pic:blipFill>
                          <a:blip r:embed="rId49" cstate="print"/>
                          <a:stretch>
                            <a:fillRect/>
                          </a:stretch>
                        </pic:blipFill>
                        <pic:spPr>
                          <a:xfrm>
                            <a:off x="0" y="0"/>
                            <a:ext cx="130175" cy="130175"/>
                          </a:xfrm>
                          <a:prstGeom prst="rect">
                            <a:avLst/>
                          </a:prstGeom>
                        </pic:spPr>
                      </pic:pic>
                    </a:graphicData>
                  </a:graphic>
                </wp:inline>
              </w:drawing>
            </w:r>
            <w:r>
              <w:rPr>
                <w:rFonts w:ascii="Times New Roman"/>
                <w:sz w:val="18"/>
              </w:rPr>
              <w:t xml:space="preserve"> </w:t>
            </w:r>
            <w:r>
              <w:rPr>
                <w:b/>
                <w:i/>
                <w:sz w:val="18"/>
              </w:rPr>
              <w:t>Dove è possibile trovare la metodologia utilizzata per il calcolo dell’indice di riferimento?</w:t>
            </w:r>
          </w:p>
        </w:tc>
      </w:tr>
      <w:tr w:rsidR="00C47BC8" w14:paraId="19A0E92F" w14:textId="77777777">
        <w:trPr>
          <w:trHeight w:val="719"/>
        </w:trPr>
        <w:tc>
          <w:tcPr>
            <w:tcW w:w="2440" w:type="dxa"/>
          </w:tcPr>
          <w:p w14:paraId="16493899" w14:textId="77777777" w:rsidR="00C47BC8" w:rsidRDefault="00C47BC8">
            <w:pPr>
              <w:pStyle w:val="TableParagraph"/>
              <w:rPr>
                <w:rFonts w:ascii="Times New Roman"/>
                <w:sz w:val="18"/>
              </w:rPr>
            </w:pPr>
          </w:p>
        </w:tc>
        <w:tc>
          <w:tcPr>
            <w:tcW w:w="408" w:type="dxa"/>
          </w:tcPr>
          <w:p w14:paraId="120CF337" w14:textId="77777777" w:rsidR="00C47BC8" w:rsidRDefault="00C47BC8">
            <w:pPr>
              <w:pStyle w:val="TableParagraph"/>
              <w:rPr>
                <w:rFonts w:ascii="Times New Roman"/>
                <w:sz w:val="18"/>
              </w:rPr>
            </w:pPr>
          </w:p>
        </w:tc>
        <w:tc>
          <w:tcPr>
            <w:tcW w:w="8498" w:type="dxa"/>
          </w:tcPr>
          <w:p w14:paraId="15DB5036" w14:textId="77777777" w:rsidR="00C47BC8" w:rsidRDefault="00606574">
            <w:pPr>
              <w:pStyle w:val="TableParagraph"/>
              <w:spacing w:before="4" w:line="249" w:lineRule="auto"/>
              <w:ind w:left="107"/>
              <w:rPr>
                <w:sz w:val="20"/>
              </w:rPr>
            </w:pPr>
            <w:r>
              <w:rPr>
                <w:sz w:val="18"/>
              </w:rPr>
              <w:t>La metodologia dell'Indice di riferimento del Fondo è disponibile sul sito web del fornitore dell'indice all'indirizzo:</w:t>
            </w:r>
            <w:hyperlink r:id="rId50">
              <w:r>
                <w:rPr>
                  <w:color w:val="0000FF"/>
                  <w:sz w:val="18"/>
                  <w:u w:val="single" w:color="0000FF"/>
                </w:rPr>
                <w:t xml:space="preserve"> https://www.stoxx.com/document/Indices/Common/Indexguide/stoxx_index_guide.pdf</w:t>
              </w:r>
            </w:hyperlink>
          </w:p>
        </w:tc>
      </w:tr>
      <w:tr w:rsidR="00C47BC8" w14:paraId="65958CA2" w14:textId="77777777">
        <w:trPr>
          <w:trHeight w:val="2150"/>
        </w:trPr>
        <w:tc>
          <w:tcPr>
            <w:tcW w:w="2440" w:type="dxa"/>
          </w:tcPr>
          <w:p w14:paraId="4D1E6114" w14:textId="77777777" w:rsidR="00C47BC8" w:rsidRDefault="00606574">
            <w:pPr>
              <w:pStyle w:val="TableParagraph"/>
              <w:ind w:left="5"/>
              <w:rPr>
                <w:sz w:val="20"/>
              </w:rPr>
            </w:pPr>
            <w:r>
              <w:rPr>
                <w:noProof/>
                <w:sz w:val="20"/>
              </w:rPr>
              <w:drawing>
                <wp:inline distT="0" distB="0" distL="0" distR="0" wp14:anchorId="15A5D505" wp14:editId="15E9D545">
                  <wp:extent cx="1409023" cy="495300"/>
                  <wp:effectExtent l="0" t="0" r="0" b="0"/>
                  <wp:docPr id="84" name="Image 84"/>
                  <wp:cNvGraphicFramePr/>
                  <a:graphic xmlns:a="http://schemas.openxmlformats.org/drawingml/2006/main">
                    <a:graphicData uri="http://schemas.openxmlformats.org/drawingml/2006/picture">
                      <pic:pic xmlns:pic="http://schemas.openxmlformats.org/drawingml/2006/picture">
                        <pic:nvPicPr>
                          <pic:cNvPr id="84" name="Image 84"/>
                          <pic:cNvPicPr/>
                        </pic:nvPicPr>
                        <pic:blipFill>
                          <a:blip r:embed="rId51" cstate="print"/>
                          <a:stretch>
                            <a:fillRect/>
                          </a:stretch>
                        </pic:blipFill>
                        <pic:spPr>
                          <a:xfrm>
                            <a:off x="0" y="0"/>
                            <a:ext cx="1409023" cy="495300"/>
                          </a:xfrm>
                          <a:prstGeom prst="rect">
                            <a:avLst/>
                          </a:prstGeom>
                        </pic:spPr>
                      </pic:pic>
                    </a:graphicData>
                  </a:graphic>
                </wp:inline>
              </w:drawing>
            </w:r>
          </w:p>
        </w:tc>
        <w:tc>
          <w:tcPr>
            <w:tcW w:w="408" w:type="dxa"/>
          </w:tcPr>
          <w:p w14:paraId="217F0E2A" w14:textId="77777777" w:rsidR="00C47BC8" w:rsidRDefault="00C47BC8">
            <w:pPr>
              <w:pStyle w:val="TableParagraph"/>
              <w:rPr>
                <w:rFonts w:ascii="Times New Roman"/>
                <w:sz w:val="18"/>
              </w:rPr>
            </w:pPr>
          </w:p>
        </w:tc>
        <w:tc>
          <w:tcPr>
            <w:tcW w:w="8498" w:type="dxa"/>
          </w:tcPr>
          <w:p w14:paraId="224F2931" w14:textId="77777777" w:rsidR="00C47BC8" w:rsidRDefault="00606574">
            <w:pPr>
              <w:pStyle w:val="TableParagraph"/>
              <w:spacing w:line="494" w:lineRule="auto"/>
              <w:ind w:left="107" w:right="2311"/>
              <w:rPr>
                <w:b/>
                <w:sz w:val="20"/>
              </w:rPr>
            </w:pPr>
            <w:r>
              <w:rPr>
                <w:b/>
                <w:sz w:val="18"/>
              </w:rPr>
              <w:t>Dove posso trovare online ulteriori informazioni specifiche sul prodotto? Ulteriori informazioni specifiche sul prodotto sono disponibili sul sito web:</w:t>
            </w:r>
          </w:p>
          <w:p w14:paraId="51EBFEA9" w14:textId="77777777" w:rsidR="00C47BC8" w:rsidRDefault="00606574">
            <w:pPr>
              <w:pStyle w:val="TableParagraph"/>
              <w:spacing w:before="7" w:line="249" w:lineRule="auto"/>
              <w:ind w:left="107"/>
              <w:rPr>
                <w:sz w:val="20"/>
              </w:rPr>
            </w:pPr>
            <w:r>
              <w:rPr>
                <w:sz w:val="18"/>
              </w:rPr>
              <w:t>Per ulteriori dettagli specifici su questo Fondo, si prega di fare riferimento alle sezioni del presente prospetto intitolate Obiettivo di investimento, Politica di investimento, SFDR e anche alla pagina del prodotto relativa al Fondo, che può essere trovata digitando il nome del Fondo nella barra di ricerca sul sito web di iShares:</w:t>
            </w:r>
            <w:hyperlink r:id="rId52">
              <w:r>
                <w:rPr>
                  <w:color w:val="0000FF"/>
                  <w:spacing w:val="-2"/>
                  <w:sz w:val="18"/>
                  <w:u w:val="single" w:color="0000FF"/>
                </w:rPr>
                <w:t xml:space="preserve"> www.iShares.com</w:t>
              </w:r>
            </w:hyperlink>
          </w:p>
        </w:tc>
      </w:tr>
    </w:tbl>
    <w:p w14:paraId="35410AA1" w14:textId="77777777" w:rsidR="00C47BC8" w:rsidRDefault="00C47BC8"/>
    <w:sectPr w:rsidR="00C47BC8">
      <w:pgSz w:w="11910" w:h="16840"/>
      <w:pgMar w:top="1380" w:right="425" w:bottom="800" w:left="0" w:header="0" w:footer="61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3F049" w14:textId="77777777" w:rsidR="00606574" w:rsidRDefault="00606574">
      <w:r>
        <w:separator/>
      </w:r>
    </w:p>
  </w:endnote>
  <w:endnote w:type="continuationSeparator" w:id="0">
    <w:p w14:paraId="4AA5BD31" w14:textId="77777777" w:rsidR="00606574" w:rsidRDefault="00606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Unicode MS">
    <w:altName w:val="Arial"/>
    <w:panose1 w:val="020B0604020202020204"/>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1"/>
    <w:family w:val="swiss"/>
    <w:pitch w:val="variable"/>
    <w:sig w:usb0="E4002EFF" w:usb1="C200247B" w:usb2="00000009" w:usb3="00000000" w:csb0="000001FF" w:csb1="00000000"/>
  </w:font>
  <w:font w:name="Tekton Pro">
    <w:altName w:val="Calibri"/>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55831" w14:textId="77777777" w:rsidR="00C47BC8" w:rsidRDefault="00606574">
    <w:pPr>
      <w:pStyle w:val="Corpotesto"/>
      <w:spacing w:before="0" w:line="14" w:lineRule="auto"/>
      <w:rPr>
        <w:sz w:val="20"/>
      </w:rPr>
    </w:pPr>
    <w:r>
      <w:rPr>
        <w:noProof/>
        <w:sz w:val="20"/>
      </w:rPr>
      <mc:AlternateContent>
        <mc:Choice Requires="wps">
          <w:drawing>
            <wp:anchor distT="0" distB="0" distL="0" distR="0" simplePos="0" relativeHeight="251659264" behindDoc="1" locked="0" layoutInCell="1" allowOverlap="1" wp14:anchorId="32571175" wp14:editId="51457CD6">
              <wp:simplePos x="0" y="0"/>
              <wp:positionH relativeFrom="page">
                <wp:posOffset>4019803</wp:posOffset>
              </wp:positionH>
              <wp:positionV relativeFrom="page">
                <wp:posOffset>10157677</wp:posOffset>
              </wp:positionV>
              <wp:extent cx="283210" cy="148590"/>
              <wp:effectExtent l="0" t="0" r="0" b="0"/>
              <wp:wrapNone/>
              <wp:docPr id="1" name="Textbox 1"/>
              <wp:cNvGraphicFramePr/>
              <a:graphic xmlns:a="http://schemas.openxmlformats.org/drawingml/2006/main">
                <a:graphicData uri="http://schemas.microsoft.com/office/word/2010/wordprocessingShape">
                  <wps:wsp>
                    <wps:cNvSpPr txBox="1"/>
                    <wps:spPr>
                      <a:xfrm>
                        <a:off x="0" y="0"/>
                        <a:ext cx="283210" cy="148590"/>
                      </a:xfrm>
                      <a:prstGeom prst="rect">
                        <a:avLst/>
                      </a:prstGeom>
                    </wps:spPr>
                    <wps:txbx>
                      <w:txbxContent>
                        <w:p w14:paraId="4DB6AE2B" w14:textId="77777777" w:rsidR="00C47BC8" w:rsidRDefault="00606574">
                          <w:pPr>
                            <w:pStyle w:val="Corpotesto"/>
                            <w:spacing w:before="39"/>
                            <w:ind w:left="60"/>
                            <w:rPr>
                              <w:rFonts w:ascii="Tekton Pro"/>
                            </w:rPr>
                          </w:pPr>
                          <w:r>
                            <w:rPr>
                              <w:rFonts w:ascii="Tekton Pro"/>
                              <w:spacing w:val="-5"/>
                            </w:rPr>
                            <w:fldChar w:fldCharType="begin"/>
                          </w:r>
                          <w:r>
                            <w:rPr>
                              <w:rFonts w:ascii="Tekton Pro"/>
                              <w:spacing w:val="-5"/>
                              <w:sz w:val="14"/>
                            </w:rPr>
                            <w:instrText xml:space="preserve"> PAGE </w:instrText>
                          </w:r>
                          <w:r>
                            <w:rPr>
                              <w:rFonts w:ascii="Tekton Pro"/>
                              <w:spacing w:val="-5"/>
                            </w:rPr>
                            <w:fldChar w:fldCharType="separate"/>
                          </w:r>
                          <w:r>
                            <w:rPr>
                              <w:rFonts w:ascii="Tekton Pro"/>
                              <w:spacing w:val="-5"/>
                              <w:sz w:val="14"/>
                            </w:rPr>
                            <w:t>416</w:t>
                          </w:r>
                          <w:r>
                            <w:rPr>
                              <w:rFonts w:ascii="Tekton Pro"/>
                              <w:spacing w:val="-5"/>
                            </w:rPr>
                            <w:fldChar w:fldCharType="end"/>
                          </w:r>
                        </w:p>
                      </w:txbxContent>
                    </wps:txbx>
                    <wps:bodyPr wrap="square" lIns="0" tIns="0" rIns="0" bIns="0" rtlCol="0"/>
                  </wps:wsp>
                </a:graphicData>
              </a:graphic>
            </wp:anchor>
          </w:drawing>
        </mc:Choice>
        <mc:Fallback>
          <w:pict>
            <v:shapetype w14:anchorId="32571175" id="_x0000_t202" coordsize="21600,21600" o:spt="202" path="m,l,21600r21600,l21600,xe">
              <v:stroke joinstyle="miter"/>
              <v:path gradientshapeok="t" o:connecttype="rect"/>
            </v:shapetype>
            <v:shape id="Textbox 1" o:spid="_x0000_s1044" type="#_x0000_t202" style="position:absolute;margin-left:316.5pt;margin-top:799.8pt;width:22.3pt;height:11.7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" filled="f" stroked="f">
              <v:textbox inset="0,0,0,0">
                <w:txbxContent>
                  <w:p w14:paraId="4DB6AE2B" w14:textId="77777777" w:rsidR="00C47BC8" w:rsidRDefault="00606574">
                    <w:pPr>
                      <w:pStyle w:val="Corpotesto"/>
                      <w:spacing w:before="39"/>
                      <w:ind w:left="60"/>
                      <w:rPr>
                        <w:rFonts w:ascii="Tekton Pro"/>
                      </w:rPr>
                    </w:pPr>
                    <w:r>
                      <w:rPr>
                        <w:rFonts w:ascii="Tekton Pro"/>
                        <w:spacing w:val="-5"/>
                      </w:rPr>
                      <w:fldChar w:fldCharType="begin"/>
                    </w:r>
                    <w:r>
                      <w:rPr>
                        <w:rFonts w:ascii="Tekton Pro"/>
                        <w:spacing w:val="-5"/>
                        <w:sz w:val="14"/>
                      </w:rPr>
                      <w:instrText xml:space="preserve"> PAGE </w:instrText>
                    </w:r>
                    <w:r>
                      <w:rPr>
                        <w:rFonts w:ascii="Tekton Pro"/>
                        <w:spacing w:val="-5"/>
                      </w:rPr>
                      <w:fldChar w:fldCharType="separate"/>
                    </w:r>
                    <w:r>
                      <w:rPr>
                        <w:rFonts w:ascii="Tekton Pro"/>
                        <w:spacing w:val="-5"/>
                        <w:sz w:val="14"/>
                      </w:rPr>
                      <w:t>416</w:t>
                    </w:r>
                    <w:r>
                      <w:rPr>
                        <w:rFonts w:ascii="Tekton Pro"/>
                        <w:spacing w:val="-5"/>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251660288" behindDoc="1" locked="0" layoutInCell="1" allowOverlap="1" wp14:anchorId="71D30B96" wp14:editId="48705E45">
              <wp:simplePos x="0" y="0"/>
              <wp:positionH relativeFrom="page">
                <wp:posOffset>4806188</wp:posOffset>
              </wp:positionH>
              <wp:positionV relativeFrom="page">
                <wp:posOffset>10471798</wp:posOffset>
              </wp:positionV>
              <wp:extent cx="1363345" cy="138430"/>
              <wp:effectExtent l="0" t="0" r="0" b="0"/>
              <wp:wrapNone/>
              <wp:docPr id="2" name="Textbox 2"/>
              <wp:cNvGraphicFramePr/>
              <a:graphic xmlns:a="http://schemas.openxmlformats.org/drawingml/2006/main">
                <a:graphicData uri="http://schemas.microsoft.com/office/word/2010/wordprocessingShape">
                  <wps:wsp>
                    <wps:cNvSpPr txBox="1"/>
                    <wps:spPr>
                      <a:xfrm>
                        <a:off x="0" y="0"/>
                        <a:ext cx="1363345" cy="138430"/>
                      </a:xfrm>
                      <a:prstGeom prst="rect">
                        <a:avLst/>
                      </a:prstGeom>
                    </wps:spPr>
                    <wps:txbx>
                      <w:txbxContent>
                        <w:p w14:paraId="03EAD4C0" w14:textId="77777777" w:rsidR="00C47BC8" w:rsidRDefault="00606574">
                          <w:pPr>
                            <w:pStyle w:val="Corpotesto"/>
                            <w:spacing w:before="13"/>
                            <w:ind w:left="20"/>
                            <w:rPr>
                              <w:rFonts w:ascii="Times New Roman"/>
                            </w:rPr>
                          </w:pPr>
                          <w:r>
                            <w:rPr>
                              <w:rFonts w:ascii="Times New Roman"/>
                              <w:color w:val="4E4D50"/>
                              <w:spacing w:val="-2"/>
                              <w:sz w:val="14"/>
                            </w:rPr>
                            <w:t>BNM0426U-5377996-16950519</w:t>
                          </w:r>
                        </w:p>
                      </w:txbxContent>
                    </wps:txbx>
                    <wps:bodyPr wrap="square" lIns="0" tIns="0" rIns="0" bIns="0" rtlCol="0"/>
                  </wps:wsp>
                </a:graphicData>
              </a:graphic>
            </wp:anchor>
          </w:drawing>
        </mc:Choice>
        <mc:Fallback>
          <w:pict>
            <v:shape w14:anchorId="71D30B96" id="Textbox 2" o:spid="_x0000_s1045" type="#_x0000_t202" style="position:absolute;margin-left:378.45pt;margin-top:824.55pt;width:107.35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" filled="f" stroked="f">
              <v:textbox inset="0,0,0,0">
                <w:txbxContent>
                  <w:p w14:paraId="03EAD4C0" w14:textId="77777777" w:rsidR="00C47BC8" w:rsidRDefault="00606574">
                    <w:pPr>
                      <w:pStyle w:val="Corpotesto"/>
                      <w:spacing w:before="13"/>
                      <w:ind w:left="20"/>
                      <w:rPr>
                        <w:rFonts w:ascii="Times New Roman"/>
                      </w:rPr>
                    </w:pPr>
                    <w:r>
                      <w:rPr>
                        <w:rFonts w:ascii="Times New Roman"/>
                        <w:color w:val="4E4D50"/>
                        <w:spacing w:val="-2"/>
                        <w:sz w:val="14"/>
                      </w:rPr>
                      <w:t>BNM0426U-5377996-16950519</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79935" w14:textId="77777777" w:rsidR="00606574" w:rsidRDefault="00606574">
      <w:r>
        <w:separator/>
      </w:r>
    </w:p>
  </w:footnote>
  <w:footnote w:type="continuationSeparator" w:id="0">
    <w:p w14:paraId="23627C1C" w14:textId="77777777" w:rsidR="00606574" w:rsidRDefault="006065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E202F"/>
    <w:multiLevelType w:val="hybridMultilevel"/>
    <w:tmpl w:val="00000000"/>
    <w:lvl w:ilvl="0" w:tplc="592C596C">
      <w:numFmt w:val="bullet"/>
      <w:lvlText w:val="☐"/>
      <w:lvlJc w:val="left"/>
      <w:pPr>
        <w:ind w:left="541" w:hanging="202"/>
      </w:pPr>
      <w:rPr>
        <w:rFonts w:ascii="Arial Unicode MS" w:eastAsia="Arial Unicode MS" w:hAnsi="Arial Unicode MS" w:cs="Arial Unicode MS" w:hint="default"/>
        <w:b w:val="0"/>
        <w:bCs w:val="0"/>
        <w:i w:val="0"/>
        <w:iCs w:val="0"/>
        <w:spacing w:val="0"/>
        <w:w w:val="136"/>
        <w:sz w:val="18"/>
        <w:szCs w:val="18"/>
        <w:lang w:val="en-US" w:eastAsia="en-US" w:bidi="ar-SA"/>
      </w:rPr>
    </w:lvl>
    <w:lvl w:ilvl="1" w:tplc="012442CA">
      <w:numFmt w:val="bullet"/>
      <w:lvlText w:val="☐"/>
      <w:lvlJc w:val="left"/>
      <w:pPr>
        <w:ind w:left="880" w:hanging="256"/>
      </w:pPr>
      <w:rPr>
        <w:rFonts w:ascii="Arial Unicode MS" w:eastAsia="Arial Unicode MS" w:hAnsi="Arial Unicode MS" w:cs="Arial Unicode MS" w:hint="default"/>
        <w:b w:val="0"/>
        <w:bCs w:val="0"/>
        <w:i w:val="0"/>
        <w:iCs w:val="0"/>
        <w:spacing w:val="0"/>
        <w:w w:val="136"/>
        <w:sz w:val="20"/>
        <w:szCs w:val="20"/>
        <w:lang w:val="en-US" w:eastAsia="en-US" w:bidi="ar-SA"/>
      </w:rPr>
    </w:lvl>
    <w:lvl w:ilvl="2" w:tplc="CAEEB0AC">
      <w:numFmt w:val="bullet"/>
      <w:lvlText w:val="•"/>
      <w:lvlJc w:val="left"/>
      <w:pPr>
        <w:ind w:left="1714" w:hanging="256"/>
      </w:pPr>
      <w:rPr>
        <w:rFonts w:hint="default"/>
        <w:lang w:val="en-US" w:eastAsia="en-US" w:bidi="ar-SA"/>
      </w:rPr>
    </w:lvl>
    <w:lvl w:ilvl="3" w:tplc="66F2C128">
      <w:numFmt w:val="bullet"/>
      <w:lvlText w:val="•"/>
      <w:lvlJc w:val="left"/>
      <w:pPr>
        <w:ind w:left="2548" w:hanging="256"/>
      </w:pPr>
      <w:rPr>
        <w:rFonts w:hint="default"/>
        <w:lang w:val="en-US" w:eastAsia="en-US" w:bidi="ar-SA"/>
      </w:rPr>
    </w:lvl>
    <w:lvl w:ilvl="4" w:tplc="D1429216">
      <w:numFmt w:val="bullet"/>
      <w:lvlText w:val="•"/>
      <w:lvlJc w:val="left"/>
      <w:pPr>
        <w:ind w:left="3383" w:hanging="256"/>
      </w:pPr>
      <w:rPr>
        <w:rFonts w:hint="default"/>
        <w:lang w:val="en-US" w:eastAsia="en-US" w:bidi="ar-SA"/>
      </w:rPr>
    </w:lvl>
    <w:lvl w:ilvl="5" w:tplc="EC1469BA">
      <w:numFmt w:val="bullet"/>
      <w:lvlText w:val="•"/>
      <w:lvlJc w:val="left"/>
      <w:pPr>
        <w:ind w:left="4217" w:hanging="256"/>
      </w:pPr>
      <w:rPr>
        <w:rFonts w:hint="default"/>
        <w:lang w:val="en-US" w:eastAsia="en-US" w:bidi="ar-SA"/>
      </w:rPr>
    </w:lvl>
    <w:lvl w:ilvl="6" w:tplc="7082BEC6">
      <w:numFmt w:val="bullet"/>
      <w:lvlText w:val="•"/>
      <w:lvlJc w:val="left"/>
      <w:pPr>
        <w:ind w:left="5052" w:hanging="256"/>
      </w:pPr>
      <w:rPr>
        <w:rFonts w:hint="default"/>
        <w:lang w:val="en-US" w:eastAsia="en-US" w:bidi="ar-SA"/>
      </w:rPr>
    </w:lvl>
    <w:lvl w:ilvl="7" w:tplc="68AE4812">
      <w:numFmt w:val="bullet"/>
      <w:lvlText w:val="•"/>
      <w:lvlJc w:val="left"/>
      <w:pPr>
        <w:ind w:left="5886" w:hanging="256"/>
      </w:pPr>
      <w:rPr>
        <w:rFonts w:hint="default"/>
        <w:lang w:val="en-US" w:eastAsia="en-US" w:bidi="ar-SA"/>
      </w:rPr>
    </w:lvl>
    <w:lvl w:ilvl="8" w:tplc="6A1AC1EC">
      <w:numFmt w:val="bullet"/>
      <w:lvlText w:val="•"/>
      <w:lvlJc w:val="left"/>
      <w:pPr>
        <w:ind w:left="6721" w:hanging="256"/>
      </w:pPr>
      <w:rPr>
        <w:rFonts w:hint="default"/>
        <w:lang w:val="en-US" w:eastAsia="en-US" w:bidi="ar-SA"/>
      </w:rPr>
    </w:lvl>
  </w:abstractNum>
  <w:abstractNum w:abstractNumId="1" w15:restartNumberingAfterBreak="0">
    <w:nsid w:val="154CE0B2"/>
    <w:multiLevelType w:val="hybridMultilevel"/>
    <w:tmpl w:val="00000000"/>
    <w:lvl w:ilvl="0" w:tplc="114015D8">
      <w:numFmt w:val="bullet"/>
      <w:lvlText w:val="☐"/>
      <w:lvlJc w:val="left"/>
      <w:pPr>
        <w:ind w:left="309" w:hanging="202"/>
      </w:pPr>
      <w:rPr>
        <w:rFonts w:ascii="Arial Unicode MS" w:eastAsia="Arial Unicode MS" w:hAnsi="Arial Unicode MS" w:cs="Arial Unicode MS" w:hint="default"/>
        <w:b w:val="0"/>
        <w:bCs w:val="0"/>
        <w:i w:val="0"/>
        <w:iCs w:val="0"/>
        <w:spacing w:val="0"/>
        <w:w w:val="136"/>
        <w:sz w:val="18"/>
        <w:szCs w:val="18"/>
        <w:lang w:val="en-US" w:eastAsia="en-US" w:bidi="ar-SA"/>
      </w:rPr>
    </w:lvl>
    <w:lvl w:ilvl="1" w:tplc="4E8A6266">
      <w:numFmt w:val="bullet"/>
      <w:lvlText w:val="•"/>
      <w:lvlJc w:val="left"/>
      <w:pPr>
        <w:ind w:left="317" w:hanging="202"/>
      </w:pPr>
      <w:rPr>
        <w:rFonts w:hint="default"/>
        <w:lang w:val="en-US" w:eastAsia="en-US" w:bidi="ar-SA"/>
      </w:rPr>
    </w:lvl>
    <w:lvl w:ilvl="2" w:tplc="7D2205D8">
      <w:numFmt w:val="bullet"/>
      <w:lvlText w:val="•"/>
      <w:lvlJc w:val="left"/>
      <w:pPr>
        <w:ind w:left="335" w:hanging="202"/>
      </w:pPr>
      <w:rPr>
        <w:rFonts w:hint="default"/>
        <w:lang w:val="en-US" w:eastAsia="en-US" w:bidi="ar-SA"/>
      </w:rPr>
    </w:lvl>
    <w:lvl w:ilvl="3" w:tplc="AB8EF504">
      <w:numFmt w:val="bullet"/>
      <w:lvlText w:val="•"/>
      <w:lvlJc w:val="left"/>
      <w:pPr>
        <w:ind w:left="352" w:hanging="202"/>
      </w:pPr>
      <w:rPr>
        <w:rFonts w:hint="default"/>
        <w:lang w:val="en-US" w:eastAsia="en-US" w:bidi="ar-SA"/>
      </w:rPr>
    </w:lvl>
    <w:lvl w:ilvl="4" w:tplc="464C2A4E">
      <w:numFmt w:val="bullet"/>
      <w:lvlText w:val="•"/>
      <w:lvlJc w:val="left"/>
      <w:pPr>
        <w:ind w:left="370" w:hanging="202"/>
      </w:pPr>
      <w:rPr>
        <w:rFonts w:hint="default"/>
        <w:lang w:val="en-US" w:eastAsia="en-US" w:bidi="ar-SA"/>
      </w:rPr>
    </w:lvl>
    <w:lvl w:ilvl="5" w:tplc="7D8CF928">
      <w:numFmt w:val="bullet"/>
      <w:lvlText w:val="•"/>
      <w:lvlJc w:val="left"/>
      <w:pPr>
        <w:ind w:left="388" w:hanging="202"/>
      </w:pPr>
      <w:rPr>
        <w:rFonts w:hint="default"/>
        <w:lang w:val="en-US" w:eastAsia="en-US" w:bidi="ar-SA"/>
      </w:rPr>
    </w:lvl>
    <w:lvl w:ilvl="6" w:tplc="117413D4">
      <w:numFmt w:val="bullet"/>
      <w:lvlText w:val="•"/>
      <w:lvlJc w:val="left"/>
      <w:pPr>
        <w:ind w:left="405" w:hanging="202"/>
      </w:pPr>
      <w:rPr>
        <w:rFonts w:hint="default"/>
        <w:lang w:val="en-US" w:eastAsia="en-US" w:bidi="ar-SA"/>
      </w:rPr>
    </w:lvl>
    <w:lvl w:ilvl="7" w:tplc="1942825A">
      <w:numFmt w:val="bullet"/>
      <w:lvlText w:val="•"/>
      <w:lvlJc w:val="left"/>
      <w:pPr>
        <w:ind w:left="423" w:hanging="202"/>
      </w:pPr>
      <w:rPr>
        <w:rFonts w:hint="default"/>
        <w:lang w:val="en-US" w:eastAsia="en-US" w:bidi="ar-SA"/>
      </w:rPr>
    </w:lvl>
    <w:lvl w:ilvl="8" w:tplc="295E86E0">
      <w:numFmt w:val="bullet"/>
      <w:lvlText w:val="•"/>
      <w:lvlJc w:val="left"/>
      <w:pPr>
        <w:ind w:left="440" w:hanging="202"/>
      </w:pPr>
      <w:rPr>
        <w:rFonts w:hint="default"/>
        <w:lang w:val="en-US" w:eastAsia="en-US" w:bidi="ar-SA"/>
      </w:rPr>
    </w:lvl>
  </w:abstractNum>
  <w:abstractNum w:abstractNumId="2" w15:restartNumberingAfterBreak="0">
    <w:nsid w:val="1C96367A"/>
    <w:multiLevelType w:val="hybridMultilevel"/>
    <w:tmpl w:val="00000000"/>
    <w:lvl w:ilvl="0" w:tplc="6DF27CBA">
      <w:numFmt w:val="bullet"/>
      <w:lvlText w:val="☐"/>
      <w:lvlJc w:val="left"/>
      <w:pPr>
        <w:ind w:left="309" w:hanging="202"/>
      </w:pPr>
      <w:rPr>
        <w:rFonts w:ascii="Arial Unicode MS" w:eastAsia="Arial Unicode MS" w:hAnsi="Arial Unicode MS" w:cs="Arial Unicode MS" w:hint="default"/>
        <w:b w:val="0"/>
        <w:bCs w:val="0"/>
        <w:i w:val="0"/>
        <w:iCs w:val="0"/>
        <w:spacing w:val="0"/>
        <w:w w:val="136"/>
        <w:sz w:val="18"/>
        <w:szCs w:val="18"/>
        <w:lang w:val="en-US" w:eastAsia="en-US" w:bidi="ar-SA"/>
      </w:rPr>
    </w:lvl>
    <w:lvl w:ilvl="1" w:tplc="7860A1BA">
      <w:numFmt w:val="bullet"/>
      <w:lvlText w:val="•"/>
      <w:lvlJc w:val="left"/>
      <w:pPr>
        <w:ind w:left="317" w:hanging="202"/>
      </w:pPr>
      <w:rPr>
        <w:rFonts w:hint="default"/>
        <w:lang w:val="en-US" w:eastAsia="en-US" w:bidi="ar-SA"/>
      </w:rPr>
    </w:lvl>
    <w:lvl w:ilvl="2" w:tplc="D44AC99A">
      <w:numFmt w:val="bullet"/>
      <w:lvlText w:val="•"/>
      <w:lvlJc w:val="left"/>
      <w:pPr>
        <w:ind w:left="335" w:hanging="202"/>
      </w:pPr>
      <w:rPr>
        <w:rFonts w:hint="default"/>
        <w:lang w:val="en-US" w:eastAsia="en-US" w:bidi="ar-SA"/>
      </w:rPr>
    </w:lvl>
    <w:lvl w:ilvl="3" w:tplc="934EA864">
      <w:numFmt w:val="bullet"/>
      <w:lvlText w:val="•"/>
      <w:lvlJc w:val="left"/>
      <w:pPr>
        <w:ind w:left="352" w:hanging="202"/>
      </w:pPr>
      <w:rPr>
        <w:rFonts w:hint="default"/>
        <w:lang w:val="en-US" w:eastAsia="en-US" w:bidi="ar-SA"/>
      </w:rPr>
    </w:lvl>
    <w:lvl w:ilvl="4" w:tplc="810E9E3A">
      <w:numFmt w:val="bullet"/>
      <w:lvlText w:val="•"/>
      <w:lvlJc w:val="left"/>
      <w:pPr>
        <w:ind w:left="370" w:hanging="202"/>
      </w:pPr>
      <w:rPr>
        <w:rFonts w:hint="default"/>
        <w:lang w:val="en-US" w:eastAsia="en-US" w:bidi="ar-SA"/>
      </w:rPr>
    </w:lvl>
    <w:lvl w:ilvl="5" w:tplc="A74A69AC">
      <w:numFmt w:val="bullet"/>
      <w:lvlText w:val="•"/>
      <w:lvlJc w:val="left"/>
      <w:pPr>
        <w:ind w:left="388" w:hanging="202"/>
      </w:pPr>
      <w:rPr>
        <w:rFonts w:hint="default"/>
        <w:lang w:val="en-US" w:eastAsia="en-US" w:bidi="ar-SA"/>
      </w:rPr>
    </w:lvl>
    <w:lvl w:ilvl="6" w:tplc="4DA65758">
      <w:numFmt w:val="bullet"/>
      <w:lvlText w:val="•"/>
      <w:lvlJc w:val="left"/>
      <w:pPr>
        <w:ind w:left="405" w:hanging="202"/>
      </w:pPr>
      <w:rPr>
        <w:rFonts w:hint="default"/>
        <w:lang w:val="en-US" w:eastAsia="en-US" w:bidi="ar-SA"/>
      </w:rPr>
    </w:lvl>
    <w:lvl w:ilvl="7" w:tplc="4E3E0968">
      <w:numFmt w:val="bullet"/>
      <w:lvlText w:val="•"/>
      <w:lvlJc w:val="left"/>
      <w:pPr>
        <w:ind w:left="423" w:hanging="202"/>
      </w:pPr>
      <w:rPr>
        <w:rFonts w:hint="default"/>
        <w:lang w:val="en-US" w:eastAsia="en-US" w:bidi="ar-SA"/>
      </w:rPr>
    </w:lvl>
    <w:lvl w:ilvl="8" w:tplc="3476E346">
      <w:numFmt w:val="bullet"/>
      <w:lvlText w:val="•"/>
      <w:lvlJc w:val="left"/>
      <w:pPr>
        <w:ind w:left="440" w:hanging="202"/>
      </w:pPr>
      <w:rPr>
        <w:rFonts w:hint="default"/>
        <w:lang w:val="en-US" w:eastAsia="en-US" w:bidi="ar-SA"/>
      </w:rPr>
    </w:lvl>
  </w:abstractNum>
  <w:abstractNum w:abstractNumId="3" w15:restartNumberingAfterBreak="0">
    <w:nsid w:val="22C53567"/>
    <w:multiLevelType w:val="hybridMultilevel"/>
    <w:tmpl w:val="00000000"/>
    <w:lvl w:ilvl="0" w:tplc="98CAF61E">
      <w:numFmt w:val="bullet"/>
      <w:lvlText w:val="☐"/>
      <w:lvlJc w:val="left"/>
      <w:pPr>
        <w:ind w:left="309" w:hanging="202"/>
      </w:pPr>
      <w:rPr>
        <w:rFonts w:ascii="Arial Unicode MS" w:eastAsia="Arial Unicode MS" w:hAnsi="Arial Unicode MS" w:cs="Arial Unicode MS" w:hint="default"/>
        <w:b w:val="0"/>
        <w:bCs w:val="0"/>
        <w:i w:val="0"/>
        <w:iCs w:val="0"/>
        <w:spacing w:val="0"/>
        <w:w w:val="136"/>
        <w:sz w:val="18"/>
        <w:szCs w:val="18"/>
        <w:lang w:val="en-US" w:eastAsia="en-US" w:bidi="ar-SA"/>
      </w:rPr>
    </w:lvl>
    <w:lvl w:ilvl="1" w:tplc="8E4445C0">
      <w:numFmt w:val="bullet"/>
      <w:lvlText w:val="•"/>
      <w:lvlJc w:val="left"/>
      <w:pPr>
        <w:ind w:left="317" w:hanging="202"/>
      </w:pPr>
      <w:rPr>
        <w:rFonts w:hint="default"/>
        <w:lang w:val="en-US" w:eastAsia="en-US" w:bidi="ar-SA"/>
      </w:rPr>
    </w:lvl>
    <w:lvl w:ilvl="2" w:tplc="30C20072">
      <w:numFmt w:val="bullet"/>
      <w:lvlText w:val="•"/>
      <w:lvlJc w:val="left"/>
      <w:pPr>
        <w:ind w:left="335" w:hanging="202"/>
      </w:pPr>
      <w:rPr>
        <w:rFonts w:hint="default"/>
        <w:lang w:val="en-US" w:eastAsia="en-US" w:bidi="ar-SA"/>
      </w:rPr>
    </w:lvl>
    <w:lvl w:ilvl="3" w:tplc="80F4B842">
      <w:numFmt w:val="bullet"/>
      <w:lvlText w:val="•"/>
      <w:lvlJc w:val="left"/>
      <w:pPr>
        <w:ind w:left="352" w:hanging="202"/>
      </w:pPr>
      <w:rPr>
        <w:rFonts w:hint="default"/>
        <w:lang w:val="en-US" w:eastAsia="en-US" w:bidi="ar-SA"/>
      </w:rPr>
    </w:lvl>
    <w:lvl w:ilvl="4" w:tplc="5BA8B1F6">
      <w:numFmt w:val="bullet"/>
      <w:lvlText w:val="•"/>
      <w:lvlJc w:val="left"/>
      <w:pPr>
        <w:ind w:left="370" w:hanging="202"/>
      </w:pPr>
      <w:rPr>
        <w:rFonts w:hint="default"/>
        <w:lang w:val="en-US" w:eastAsia="en-US" w:bidi="ar-SA"/>
      </w:rPr>
    </w:lvl>
    <w:lvl w:ilvl="5" w:tplc="A970DDBA">
      <w:numFmt w:val="bullet"/>
      <w:lvlText w:val="•"/>
      <w:lvlJc w:val="left"/>
      <w:pPr>
        <w:ind w:left="388" w:hanging="202"/>
      </w:pPr>
      <w:rPr>
        <w:rFonts w:hint="default"/>
        <w:lang w:val="en-US" w:eastAsia="en-US" w:bidi="ar-SA"/>
      </w:rPr>
    </w:lvl>
    <w:lvl w:ilvl="6" w:tplc="E0F81456">
      <w:numFmt w:val="bullet"/>
      <w:lvlText w:val="•"/>
      <w:lvlJc w:val="left"/>
      <w:pPr>
        <w:ind w:left="405" w:hanging="202"/>
      </w:pPr>
      <w:rPr>
        <w:rFonts w:hint="default"/>
        <w:lang w:val="en-US" w:eastAsia="en-US" w:bidi="ar-SA"/>
      </w:rPr>
    </w:lvl>
    <w:lvl w:ilvl="7" w:tplc="A5D8F99A">
      <w:numFmt w:val="bullet"/>
      <w:lvlText w:val="•"/>
      <w:lvlJc w:val="left"/>
      <w:pPr>
        <w:ind w:left="423" w:hanging="202"/>
      </w:pPr>
      <w:rPr>
        <w:rFonts w:hint="default"/>
        <w:lang w:val="en-US" w:eastAsia="en-US" w:bidi="ar-SA"/>
      </w:rPr>
    </w:lvl>
    <w:lvl w:ilvl="8" w:tplc="46883BCA">
      <w:numFmt w:val="bullet"/>
      <w:lvlText w:val="•"/>
      <w:lvlJc w:val="left"/>
      <w:pPr>
        <w:ind w:left="440" w:hanging="202"/>
      </w:pPr>
      <w:rPr>
        <w:rFonts w:hint="default"/>
        <w:lang w:val="en-US" w:eastAsia="en-US" w:bidi="ar-SA"/>
      </w:rPr>
    </w:lvl>
  </w:abstractNum>
  <w:abstractNum w:abstractNumId="4" w15:restartNumberingAfterBreak="0">
    <w:nsid w:val="350588E1"/>
    <w:multiLevelType w:val="hybridMultilevel"/>
    <w:tmpl w:val="00000000"/>
    <w:lvl w:ilvl="0" w:tplc="C4F45EAC">
      <w:numFmt w:val="bullet"/>
      <w:lvlText w:val="☐"/>
      <w:lvlJc w:val="left"/>
      <w:pPr>
        <w:ind w:left="907" w:hanging="256"/>
      </w:pPr>
      <w:rPr>
        <w:rFonts w:ascii="Arial Unicode MS" w:eastAsia="Arial Unicode MS" w:hAnsi="Arial Unicode MS" w:cs="Arial Unicode MS" w:hint="default"/>
        <w:b w:val="0"/>
        <w:bCs w:val="0"/>
        <w:i w:val="0"/>
        <w:iCs w:val="0"/>
        <w:spacing w:val="0"/>
        <w:w w:val="136"/>
        <w:sz w:val="20"/>
        <w:szCs w:val="20"/>
        <w:lang w:val="en-US" w:eastAsia="en-US" w:bidi="ar-SA"/>
      </w:rPr>
    </w:lvl>
    <w:lvl w:ilvl="1" w:tplc="87E6E8CE">
      <w:numFmt w:val="bullet"/>
      <w:lvlText w:val="•"/>
      <w:lvlJc w:val="left"/>
      <w:pPr>
        <w:ind w:left="1219" w:hanging="256"/>
      </w:pPr>
      <w:rPr>
        <w:rFonts w:hint="default"/>
        <w:lang w:val="en-US" w:eastAsia="en-US" w:bidi="ar-SA"/>
      </w:rPr>
    </w:lvl>
    <w:lvl w:ilvl="2" w:tplc="A59E1AFA">
      <w:numFmt w:val="bullet"/>
      <w:lvlText w:val="•"/>
      <w:lvlJc w:val="left"/>
      <w:pPr>
        <w:ind w:left="1539" w:hanging="256"/>
      </w:pPr>
      <w:rPr>
        <w:rFonts w:hint="default"/>
        <w:lang w:val="en-US" w:eastAsia="en-US" w:bidi="ar-SA"/>
      </w:rPr>
    </w:lvl>
    <w:lvl w:ilvl="3" w:tplc="692E7878">
      <w:numFmt w:val="bullet"/>
      <w:lvlText w:val="•"/>
      <w:lvlJc w:val="left"/>
      <w:pPr>
        <w:ind w:left="1858" w:hanging="256"/>
      </w:pPr>
      <w:rPr>
        <w:rFonts w:hint="default"/>
        <w:lang w:val="en-US" w:eastAsia="en-US" w:bidi="ar-SA"/>
      </w:rPr>
    </w:lvl>
    <w:lvl w:ilvl="4" w:tplc="33640B4C">
      <w:numFmt w:val="bullet"/>
      <w:lvlText w:val="•"/>
      <w:lvlJc w:val="left"/>
      <w:pPr>
        <w:ind w:left="2178" w:hanging="256"/>
      </w:pPr>
      <w:rPr>
        <w:rFonts w:hint="default"/>
        <w:lang w:val="en-US" w:eastAsia="en-US" w:bidi="ar-SA"/>
      </w:rPr>
    </w:lvl>
    <w:lvl w:ilvl="5" w:tplc="A4A4B518">
      <w:numFmt w:val="bullet"/>
      <w:lvlText w:val="•"/>
      <w:lvlJc w:val="left"/>
      <w:pPr>
        <w:ind w:left="2498" w:hanging="256"/>
      </w:pPr>
      <w:rPr>
        <w:rFonts w:hint="default"/>
        <w:lang w:val="en-US" w:eastAsia="en-US" w:bidi="ar-SA"/>
      </w:rPr>
    </w:lvl>
    <w:lvl w:ilvl="6" w:tplc="EA126AD4">
      <w:numFmt w:val="bullet"/>
      <w:lvlText w:val="•"/>
      <w:lvlJc w:val="left"/>
      <w:pPr>
        <w:ind w:left="2817" w:hanging="256"/>
      </w:pPr>
      <w:rPr>
        <w:rFonts w:hint="default"/>
        <w:lang w:val="en-US" w:eastAsia="en-US" w:bidi="ar-SA"/>
      </w:rPr>
    </w:lvl>
    <w:lvl w:ilvl="7" w:tplc="C2A48A1A">
      <w:numFmt w:val="bullet"/>
      <w:lvlText w:val="•"/>
      <w:lvlJc w:val="left"/>
      <w:pPr>
        <w:ind w:left="3137" w:hanging="256"/>
      </w:pPr>
      <w:rPr>
        <w:rFonts w:hint="default"/>
        <w:lang w:val="en-US" w:eastAsia="en-US" w:bidi="ar-SA"/>
      </w:rPr>
    </w:lvl>
    <w:lvl w:ilvl="8" w:tplc="824E7278">
      <w:numFmt w:val="bullet"/>
      <w:lvlText w:val="•"/>
      <w:lvlJc w:val="left"/>
      <w:pPr>
        <w:ind w:left="3456" w:hanging="256"/>
      </w:pPr>
      <w:rPr>
        <w:rFonts w:hint="default"/>
        <w:lang w:val="en-US" w:eastAsia="en-US" w:bidi="ar-SA"/>
      </w:rPr>
    </w:lvl>
  </w:abstractNum>
  <w:abstractNum w:abstractNumId="5" w15:restartNumberingAfterBreak="0">
    <w:nsid w:val="41C0D64D"/>
    <w:multiLevelType w:val="hybridMultilevel"/>
    <w:tmpl w:val="00000000"/>
    <w:lvl w:ilvl="0" w:tplc="D5FA779A">
      <w:start w:val="2"/>
      <w:numFmt w:val="lowerRoman"/>
      <w:lvlText w:val="(%1)"/>
      <w:lvlJc w:val="left"/>
      <w:pPr>
        <w:ind w:left="969" w:hanging="720"/>
        <w:jc w:val="left"/>
      </w:pPr>
      <w:rPr>
        <w:rFonts w:ascii="Arial" w:eastAsia="Arial" w:hAnsi="Arial" w:cs="Arial" w:hint="default"/>
        <w:b w:val="0"/>
        <w:bCs w:val="0"/>
        <w:i w:val="0"/>
        <w:iCs w:val="0"/>
        <w:spacing w:val="0"/>
        <w:w w:val="100"/>
        <w:sz w:val="20"/>
        <w:szCs w:val="20"/>
        <w:lang w:val="en-US" w:eastAsia="en-US" w:bidi="ar-SA"/>
      </w:rPr>
    </w:lvl>
    <w:lvl w:ilvl="1" w:tplc="C55E63B8">
      <w:numFmt w:val="bullet"/>
      <w:lvlText w:val="•"/>
      <w:lvlJc w:val="left"/>
      <w:pPr>
        <w:ind w:left="1712" w:hanging="720"/>
      </w:pPr>
      <w:rPr>
        <w:rFonts w:hint="default"/>
        <w:lang w:val="en-US" w:eastAsia="en-US" w:bidi="ar-SA"/>
      </w:rPr>
    </w:lvl>
    <w:lvl w:ilvl="2" w:tplc="E3E0B914">
      <w:numFmt w:val="bullet"/>
      <w:lvlText w:val="•"/>
      <w:lvlJc w:val="left"/>
      <w:pPr>
        <w:ind w:left="2465" w:hanging="720"/>
      </w:pPr>
      <w:rPr>
        <w:rFonts w:hint="default"/>
        <w:lang w:val="en-US" w:eastAsia="en-US" w:bidi="ar-SA"/>
      </w:rPr>
    </w:lvl>
    <w:lvl w:ilvl="3" w:tplc="A4164792">
      <w:numFmt w:val="bullet"/>
      <w:lvlText w:val="•"/>
      <w:lvlJc w:val="left"/>
      <w:pPr>
        <w:ind w:left="3218" w:hanging="720"/>
      </w:pPr>
      <w:rPr>
        <w:rFonts w:hint="default"/>
        <w:lang w:val="en-US" w:eastAsia="en-US" w:bidi="ar-SA"/>
      </w:rPr>
    </w:lvl>
    <w:lvl w:ilvl="4" w:tplc="FCB67484">
      <w:numFmt w:val="bullet"/>
      <w:lvlText w:val="•"/>
      <w:lvlJc w:val="left"/>
      <w:pPr>
        <w:ind w:left="3971" w:hanging="720"/>
      </w:pPr>
      <w:rPr>
        <w:rFonts w:hint="default"/>
        <w:lang w:val="en-US" w:eastAsia="en-US" w:bidi="ar-SA"/>
      </w:rPr>
    </w:lvl>
    <w:lvl w:ilvl="5" w:tplc="870C7E24">
      <w:numFmt w:val="bullet"/>
      <w:lvlText w:val="•"/>
      <w:lvlJc w:val="left"/>
      <w:pPr>
        <w:ind w:left="4724" w:hanging="720"/>
      </w:pPr>
      <w:rPr>
        <w:rFonts w:hint="default"/>
        <w:lang w:val="en-US" w:eastAsia="en-US" w:bidi="ar-SA"/>
      </w:rPr>
    </w:lvl>
    <w:lvl w:ilvl="6" w:tplc="B85E83D6">
      <w:numFmt w:val="bullet"/>
      <w:lvlText w:val="•"/>
      <w:lvlJc w:val="left"/>
      <w:pPr>
        <w:ind w:left="5476" w:hanging="720"/>
      </w:pPr>
      <w:rPr>
        <w:rFonts w:hint="default"/>
        <w:lang w:val="en-US" w:eastAsia="en-US" w:bidi="ar-SA"/>
      </w:rPr>
    </w:lvl>
    <w:lvl w:ilvl="7" w:tplc="339AF994">
      <w:numFmt w:val="bullet"/>
      <w:lvlText w:val="•"/>
      <w:lvlJc w:val="left"/>
      <w:pPr>
        <w:ind w:left="6229" w:hanging="720"/>
      </w:pPr>
      <w:rPr>
        <w:rFonts w:hint="default"/>
        <w:lang w:val="en-US" w:eastAsia="en-US" w:bidi="ar-SA"/>
      </w:rPr>
    </w:lvl>
    <w:lvl w:ilvl="8" w:tplc="68ECAB1E">
      <w:numFmt w:val="bullet"/>
      <w:lvlText w:val="•"/>
      <w:lvlJc w:val="left"/>
      <w:pPr>
        <w:ind w:left="6982" w:hanging="720"/>
      </w:pPr>
      <w:rPr>
        <w:rFonts w:hint="default"/>
        <w:lang w:val="en-US" w:eastAsia="en-US" w:bidi="ar-SA"/>
      </w:rPr>
    </w:lvl>
  </w:abstractNum>
  <w:abstractNum w:abstractNumId="6" w15:restartNumberingAfterBreak="0">
    <w:nsid w:val="425BC16D"/>
    <w:multiLevelType w:val="hybridMultilevel"/>
    <w:tmpl w:val="00000000"/>
    <w:lvl w:ilvl="0" w:tplc="EC48223A">
      <w:numFmt w:val="bullet"/>
      <w:lvlText w:val="☐"/>
      <w:lvlJc w:val="left"/>
      <w:pPr>
        <w:ind w:left="308" w:hanging="202"/>
      </w:pPr>
      <w:rPr>
        <w:rFonts w:ascii="Arial Unicode MS" w:eastAsia="Arial Unicode MS" w:hAnsi="Arial Unicode MS" w:cs="Arial Unicode MS" w:hint="default"/>
        <w:b w:val="0"/>
        <w:bCs w:val="0"/>
        <w:i w:val="0"/>
        <w:iCs w:val="0"/>
        <w:spacing w:val="0"/>
        <w:w w:val="136"/>
        <w:sz w:val="18"/>
        <w:szCs w:val="18"/>
        <w:lang w:val="en-US" w:eastAsia="en-US" w:bidi="ar-SA"/>
      </w:rPr>
    </w:lvl>
    <w:lvl w:ilvl="1" w:tplc="83F8641A">
      <w:numFmt w:val="bullet"/>
      <w:lvlText w:val="•"/>
      <w:lvlJc w:val="left"/>
      <w:pPr>
        <w:ind w:left="311" w:hanging="202"/>
      </w:pPr>
      <w:rPr>
        <w:rFonts w:hint="default"/>
        <w:lang w:val="en-US" w:eastAsia="en-US" w:bidi="ar-SA"/>
      </w:rPr>
    </w:lvl>
    <w:lvl w:ilvl="2" w:tplc="8E76AE30">
      <w:numFmt w:val="bullet"/>
      <w:lvlText w:val="•"/>
      <w:lvlJc w:val="left"/>
      <w:pPr>
        <w:ind w:left="322" w:hanging="202"/>
      </w:pPr>
      <w:rPr>
        <w:rFonts w:hint="default"/>
        <w:lang w:val="en-US" w:eastAsia="en-US" w:bidi="ar-SA"/>
      </w:rPr>
    </w:lvl>
    <w:lvl w:ilvl="3" w:tplc="E632A07A">
      <w:numFmt w:val="bullet"/>
      <w:lvlText w:val="•"/>
      <w:lvlJc w:val="left"/>
      <w:pPr>
        <w:ind w:left="334" w:hanging="202"/>
      </w:pPr>
      <w:rPr>
        <w:rFonts w:hint="default"/>
        <w:lang w:val="en-US" w:eastAsia="en-US" w:bidi="ar-SA"/>
      </w:rPr>
    </w:lvl>
    <w:lvl w:ilvl="4" w:tplc="D6F62CAE">
      <w:numFmt w:val="bullet"/>
      <w:lvlText w:val="•"/>
      <w:lvlJc w:val="left"/>
      <w:pPr>
        <w:ind w:left="345" w:hanging="202"/>
      </w:pPr>
      <w:rPr>
        <w:rFonts w:hint="default"/>
        <w:lang w:val="en-US" w:eastAsia="en-US" w:bidi="ar-SA"/>
      </w:rPr>
    </w:lvl>
    <w:lvl w:ilvl="5" w:tplc="948C3EA8">
      <w:numFmt w:val="bullet"/>
      <w:lvlText w:val="•"/>
      <w:lvlJc w:val="left"/>
      <w:pPr>
        <w:ind w:left="357" w:hanging="202"/>
      </w:pPr>
      <w:rPr>
        <w:rFonts w:hint="default"/>
        <w:lang w:val="en-US" w:eastAsia="en-US" w:bidi="ar-SA"/>
      </w:rPr>
    </w:lvl>
    <w:lvl w:ilvl="6" w:tplc="2EFCCAB2">
      <w:numFmt w:val="bullet"/>
      <w:lvlText w:val="•"/>
      <w:lvlJc w:val="left"/>
      <w:pPr>
        <w:ind w:left="368" w:hanging="202"/>
      </w:pPr>
      <w:rPr>
        <w:rFonts w:hint="default"/>
        <w:lang w:val="en-US" w:eastAsia="en-US" w:bidi="ar-SA"/>
      </w:rPr>
    </w:lvl>
    <w:lvl w:ilvl="7" w:tplc="C1D453DA">
      <w:numFmt w:val="bullet"/>
      <w:lvlText w:val="•"/>
      <w:lvlJc w:val="left"/>
      <w:pPr>
        <w:ind w:left="379" w:hanging="202"/>
      </w:pPr>
      <w:rPr>
        <w:rFonts w:hint="default"/>
        <w:lang w:val="en-US" w:eastAsia="en-US" w:bidi="ar-SA"/>
      </w:rPr>
    </w:lvl>
    <w:lvl w:ilvl="8" w:tplc="57C6C8F4">
      <w:numFmt w:val="bullet"/>
      <w:lvlText w:val="•"/>
      <w:lvlJc w:val="left"/>
      <w:pPr>
        <w:ind w:left="391" w:hanging="202"/>
      </w:pPr>
      <w:rPr>
        <w:rFonts w:hint="default"/>
        <w:lang w:val="en-US" w:eastAsia="en-US" w:bidi="ar-SA"/>
      </w:rPr>
    </w:lvl>
  </w:abstractNum>
  <w:abstractNum w:abstractNumId="7" w15:restartNumberingAfterBreak="0">
    <w:nsid w:val="560BB587"/>
    <w:multiLevelType w:val="hybridMultilevel"/>
    <w:tmpl w:val="00000000"/>
    <w:lvl w:ilvl="0" w:tplc="D1D8E3CA">
      <w:numFmt w:val="bullet"/>
      <w:lvlText w:val="☐"/>
      <w:lvlJc w:val="left"/>
      <w:pPr>
        <w:ind w:left="308" w:hanging="202"/>
      </w:pPr>
      <w:rPr>
        <w:rFonts w:ascii="Arial Unicode MS" w:eastAsia="Arial Unicode MS" w:hAnsi="Arial Unicode MS" w:cs="Arial Unicode MS" w:hint="default"/>
        <w:b w:val="0"/>
        <w:bCs w:val="0"/>
        <w:i w:val="0"/>
        <w:iCs w:val="0"/>
        <w:spacing w:val="0"/>
        <w:w w:val="136"/>
        <w:sz w:val="18"/>
        <w:szCs w:val="18"/>
        <w:lang w:val="en-US" w:eastAsia="en-US" w:bidi="ar-SA"/>
      </w:rPr>
    </w:lvl>
    <w:lvl w:ilvl="1" w:tplc="71DA5A6C">
      <w:numFmt w:val="bullet"/>
      <w:lvlText w:val="•"/>
      <w:lvlJc w:val="left"/>
      <w:pPr>
        <w:ind w:left="311" w:hanging="202"/>
      </w:pPr>
      <w:rPr>
        <w:rFonts w:hint="default"/>
        <w:lang w:val="en-US" w:eastAsia="en-US" w:bidi="ar-SA"/>
      </w:rPr>
    </w:lvl>
    <w:lvl w:ilvl="2" w:tplc="797630AE">
      <w:numFmt w:val="bullet"/>
      <w:lvlText w:val="•"/>
      <w:lvlJc w:val="left"/>
      <w:pPr>
        <w:ind w:left="322" w:hanging="202"/>
      </w:pPr>
      <w:rPr>
        <w:rFonts w:hint="default"/>
        <w:lang w:val="en-US" w:eastAsia="en-US" w:bidi="ar-SA"/>
      </w:rPr>
    </w:lvl>
    <w:lvl w:ilvl="3" w:tplc="CF40770C">
      <w:numFmt w:val="bullet"/>
      <w:lvlText w:val="•"/>
      <w:lvlJc w:val="left"/>
      <w:pPr>
        <w:ind w:left="334" w:hanging="202"/>
      </w:pPr>
      <w:rPr>
        <w:rFonts w:hint="default"/>
        <w:lang w:val="en-US" w:eastAsia="en-US" w:bidi="ar-SA"/>
      </w:rPr>
    </w:lvl>
    <w:lvl w:ilvl="4" w:tplc="9B44257C">
      <w:numFmt w:val="bullet"/>
      <w:lvlText w:val="•"/>
      <w:lvlJc w:val="left"/>
      <w:pPr>
        <w:ind w:left="345" w:hanging="202"/>
      </w:pPr>
      <w:rPr>
        <w:rFonts w:hint="default"/>
        <w:lang w:val="en-US" w:eastAsia="en-US" w:bidi="ar-SA"/>
      </w:rPr>
    </w:lvl>
    <w:lvl w:ilvl="5" w:tplc="71D458D6">
      <w:numFmt w:val="bullet"/>
      <w:lvlText w:val="•"/>
      <w:lvlJc w:val="left"/>
      <w:pPr>
        <w:ind w:left="357" w:hanging="202"/>
      </w:pPr>
      <w:rPr>
        <w:rFonts w:hint="default"/>
        <w:lang w:val="en-US" w:eastAsia="en-US" w:bidi="ar-SA"/>
      </w:rPr>
    </w:lvl>
    <w:lvl w:ilvl="6" w:tplc="81AE580A">
      <w:numFmt w:val="bullet"/>
      <w:lvlText w:val="•"/>
      <w:lvlJc w:val="left"/>
      <w:pPr>
        <w:ind w:left="368" w:hanging="202"/>
      </w:pPr>
      <w:rPr>
        <w:rFonts w:hint="default"/>
        <w:lang w:val="en-US" w:eastAsia="en-US" w:bidi="ar-SA"/>
      </w:rPr>
    </w:lvl>
    <w:lvl w:ilvl="7" w:tplc="E01A034C">
      <w:numFmt w:val="bullet"/>
      <w:lvlText w:val="•"/>
      <w:lvlJc w:val="left"/>
      <w:pPr>
        <w:ind w:left="379" w:hanging="202"/>
      </w:pPr>
      <w:rPr>
        <w:rFonts w:hint="default"/>
        <w:lang w:val="en-US" w:eastAsia="en-US" w:bidi="ar-SA"/>
      </w:rPr>
    </w:lvl>
    <w:lvl w:ilvl="8" w:tplc="F8FEB22E">
      <w:numFmt w:val="bullet"/>
      <w:lvlText w:val="•"/>
      <w:lvlJc w:val="left"/>
      <w:pPr>
        <w:ind w:left="391" w:hanging="202"/>
      </w:pPr>
      <w:rPr>
        <w:rFonts w:hint="default"/>
        <w:lang w:val="en-US" w:eastAsia="en-US" w:bidi="ar-SA"/>
      </w:rPr>
    </w:lvl>
  </w:abstractNum>
  <w:abstractNum w:abstractNumId="8" w15:restartNumberingAfterBreak="0">
    <w:nsid w:val="5A4C5DC3"/>
    <w:multiLevelType w:val="hybridMultilevel"/>
    <w:tmpl w:val="00000000"/>
    <w:lvl w:ilvl="0" w:tplc="06E6E902">
      <w:numFmt w:val="bullet"/>
      <w:lvlText w:val="☐"/>
      <w:lvlJc w:val="left"/>
      <w:pPr>
        <w:ind w:left="309" w:hanging="202"/>
      </w:pPr>
      <w:rPr>
        <w:rFonts w:ascii="Arial Unicode MS" w:eastAsia="Arial Unicode MS" w:hAnsi="Arial Unicode MS" w:cs="Arial Unicode MS" w:hint="default"/>
        <w:b w:val="0"/>
        <w:bCs w:val="0"/>
        <w:i w:val="0"/>
        <w:iCs w:val="0"/>
        <w:spacing w:val="0"/>
        <w:w w:val="136"/>
        <w:sz w:val="18"/>
        <w:szCs w:val="18"/>
        <w:lang w:val="en-US" w:eastAsia="en-US" w:bidi="ar-SA"/>
      </w:rPr>
    </w:lvl>
    <w:lvl w:ilvl="1" w:tplc="7FAA2254">
      <w:numFmt w:val="bullet"/>
      <w:lvlText w:val="•"/>
      <w:lvlJc w:val="left"/>
      <w:pPr>
        <w:ind w:left="317" w:hanging="202"/>
      </w:pPr>
      <w:rPr>
        <w:rFonts w:hint="default"/>
        <w:lang w:val="en-US" w:eastAsia="en-US" w:bidi="ar-SA"/>
      </w:rPr>
    </w:lvl>
    <w:lvl w:ilvl="2" w:tplc="5D16AFD4">
      <w:numFmt w:val="bullet"/>
      <w:lvlText w:val="•"/>
      <w:lvlJc w:val="left"/>
      <w:pPr>
        <w:ind w:left="335" w:hanging="202"/>
      </w:pPr>
      <w:rPr>
        <w:rFonts w:hint="default"/>
        <w:lang w:val="en-US" w:eastAsia="en-US" w:bidi="ar-SA"/>
      </w:rPr>
    </w:lvl>
    <w:lvl w:ilvl="3" w:tplc="E12605AC">
      <w:numFmt w:val="bullet"/>
      <w:lvlText w:val="•"/>
      <w:lvlJc w:val="left"/>
      <w:pPr>
        <w:ind w:left="352" w:hanging="202"/>
      </w:pPr>
      <w:rPr>
        <w:rFonts w:hint="default"/>
        <w:lang w:val="en-US" w:eastAsia="en-US" w:bidi="ar-SA"/>
      </w:rPr>
    </w:lvl>
    <w:lvl w:ilvl="4" w:tplc="01F8E410">
      <w:numFmt w:val="bullet"/>
      <w:lvlText w:val="•"/>
      <w:lvlJc w:val="left"/>
      <w:pPr>
        <w:ind w:left="370" w:hanging="202"/>
      </w:pPr>
      <w:rPr>
        <w:rFonts w:hint="default"/>
        <w:lang w:val="en-US" w:eastAsia="en-US" w:bidi="ar-SA"/>
      </w:rPr>
    </w:lvl>
    <w:lvl w:ilvl="5" w:tplc="F18C245C">
      <w:numFmt w:val="bullet"/>
      <w:lvlText w:val="•"/>
      <w:lvlJc w:val="left"/>
      <w:pPr>
        <w:ind w:left="388" w:hanging="202"/>
      </w:pPr>
      <w:rPr>
        <w:rFonts w:hint="default"/>
        <w:lang w:val="en-US" w:eastAsia="en-US" w:bidi="ar-SA"/>
      </w:rPr>
    </w:lvl>
    <w:lvl w:ilvl="6" w:tplc="4E94ECCE">
      <w:numFmt w:val="bullet"/>
      <w:lvlText w:val="•"/>
      <w:lvlJc w:val="left"/>
      <w:pPr>
        <w:ind w:left="405" w:hanging="202"/>
      </w:pPr>
      <w:rPr>
        <w:rFonts w:hint="default"/>
        <w:lang w:val="en-US" w:eastAsia="en-US" w:bidi="ar-SA"/>
      </w:rPr>
    </w:lvl>
    <w:lvl w:ilvl="7" w:tplc="2A926AF0">
      <w:numFmt w:val="bullet"/>
      <w:lvlText w:val="•"/>
      <w:lvlJc w:val="left"/>
      <w:pPr>
        <w:ind w:left="423" w:hanging="202"/>
      </w:pPr>
      <w:rPr>
        <w:rFonts w:hint="default"/>
        <w:lang w:val="en-US" w:eastAsia="en-US" w:bidi="ar-SA"/>
      </w:rPr>
    </w:lvl>
    <w:lvl w:ilvl="8" w:tplc="0518CF04">
      <w:numFmt w:val="bullet"/>
      <w:lvlText w:val="•"/>
      <w:lvlJc w:val="left"/>
      <w:pPr>
        <w:ind w:left="440" w:hanging="202"/>
      </w:pPr>
      <w:rPr>
        <w:rFonts w:hint="default"/>
        <w:lang w:val="en-US" w:eastAsia="en-US" w:bidi="ar-SA"/>
      </w:rPr>
    </w:lvl>
  </w:abstractNum>
  <w:abstractNum w:abstractNumId="9" w15:restartNumberingAfterBreak="0">
    <w:nsid w:val="791B947E"/>
    <w:multiLevelType w:val="hybridMultilevel"/>
    <w:tmpl w:val="00000000"/>
    <w:lvl w:ilvl="0" w:tplc="FD3EED8C">
      <w:start w:val="1"/>
      <w:numFmt w:val="decimal"/>
      <w:lvlText w:val="%1."/>
      <w:lvlJc w:val="left"/>
      <w:pPr>
        <w:ind w:left="869" w:hanging="540"/>
        <w:jc w:val="left"/>
      </w:pPr>
      <w:rPr>
        <w:rFonts w:ascii="Arial" w:eastAsia="Arial" w:hAnsi="Arial" w:cs="Arial" w:hint="default"/>
        <w:b w:val="0"/>
        <w:bCs w:val="0"/>
        <w:i w:val="0"/>
        <w:iCs w:val="0"/>
        <w:spacing w:val="0"/>
        <w:w w:val="100"/>
        <w:sz w:val="20"/>
        <w:szCs w:val="20"/>
        <w:lang w:val="en-US" w:eastAsia="en-US" w:bidi="ar-SA"/>
      </w:rPr>
    </w:lvl>
    <w:lvl w:ilvl="1" w:tplc="C6424DE4">
      <w:numFmt w:val="bullet"/>
      <w:lvlText w:val="•"/>
      <w:lvlJc w:val="left"/>
      <w:pPr>
        <w:ind w:left="1622" w:hanging="540"/>
      </w:pPr>
      <w:rPr>
        <w:rFonts w:hint="default"/>
        <w:lang w:val="en-US" w:eastAsia="en-US" w:bidi="ar-SA"/>
      </w:rPr>
    </w:lvl>
    <w:lvl w:ilvl="2" w:tplc="B6881820">
      <w:numFmt w:val="bullet"/>
      <w:lvlText w:val="•"/>
      <w:lvlJc w:val="left"/>
      <w:pPr>
        <w:ind w:left="2385" w:hanging="540"/>
      </w:pPr>
      <w:rPr>
        <w:rFonts w:hint="default"/>
        <w:lang w:val="en-US" w:eastAsia="en-US" w:bidi="ar-SA"/>
      </w:rPr>
    </w:lvl>
    <w:lvl w:ilvl="3" w:tplc="0A0A8340">
      <w:numFmt w:val="bullet"/>
      <w:lvlText w:val="•"/>
      <w:lvlJc w:val="left"/>
      <w:pPr>
        <w:ind w:left="3148" w:hanging="540"/>
      </w:pPr>
      <w:rPr>
        <w:rFonts w:hint="default"/>
        <w:lang w:val="en-US" w:eastAsia="en-US" w:bidi="ar-SA"/>
      </w:rPr>
    </w:lvl>
    <w:lvl w:ilvl="4" w:tplc="B324DF48">
      <w:numFmt w:val="bullet"/>
      <w:lvlText w:val="•"/>
      <w:lvlJc w:val="left"/>
      <w:pPr>
        <w:ind w:left="3911" w:hanging="540"/>
      </w:pPr>
      <w:rPr>
        <w:rFonts w:hint="default"/>
        <w:lang w:val="en-US" w:eastAsia="en-US" w:bidi="ar-SA"/>
      </w:rPr>
    </w:lvl>
    <w:lvl w:ilvl="5" w:tplc="4C2EDA54">
      <w:numFmt w:val="bullet"/>
      <w:lvlText w:val="•"/>
      <w:lvlJc w:val="left"/>
      <w:pPr>
        <w:ind w:left="4674" w:hanging="540"/>
      </w:pPr>
      <w:rPr>
        <w:rFonts w:hint="default"/>
        <w:lang w:val="en-US" w:eastAsia="en-US" w:bidi="ar-SA"/>
      </w:rPr>
    </w:lvl>
    <w:lvl w:ilvl="6" w:tplc="71A06F2A">
      <w:numFmt w:val="bullet"/>
      <w:lvlText w:val="•"/>
      <w:lvlJc w:val="left"/>
      <w:pPr>
        <w:ind w:left="5436" w:hanging="540"/>
      </w:pPr>
      <w:rPr>
        <w:rFonts w:hint="default"/>
        <w:lang w:val="en-US" w:eastAsia="en-US" w:bidi="ar-SA"/>
      </w:rPr>
    </w:lvl>
    <w:lvl w:ilvl="7" w:tplc="0CFA1E2E">
      <w:numFmt w:val="bullet"/>
      <w:lvlText w:val="•"/>
      <w:lvlJc w:val="left"/>
      <w:pPr>
        <w:ind w:left="6199" w:hanging="540"/>
      </w:pPr>
      <w:rPr>
        <w:rFonts w:hint="default"/>
        <w:lang w:val="en-US" w:eastAsia="en-US" w:bidi="ar-SA"/>
      </w:rPr>
    </w:lvl>
    <w:lvl w:ilvl="8" w:tplc="4B58DED4">
      <w:numFmt w:val="bullet"/>
      <w:lvlText w:val="•"/>
      <w:lvlJc w:val="left"/>
      <w:pPr>
        <w:ind w:left="6962" w:hanging="540"/>
      </w:pPr>
      <w:rPr>
        <w:rFonts w:hint="default"/>
        <w:lang w:val="en-US" w:eastAsia="en-US" w:bidi="ar-SA"/>
      </w:rPr>
    </w:lvl>
  </w:abstractNum>
  <w:abstractNum w:abstractNumId="10" w15:restartNumberingAfterBreak="0">
    <w:nsid w:val="7DBAA8D0"/>
    <w:multiLevelType w:val="hybridMultilevel"/>
    <w:tmpl w:val="00000000"/>
    <w:lvl w:ilvl="0" w:tplc="D8CA64FC">
      <w:numFmt w:val="bullet"/>
      <w:lvlText w:val="☐"/>
      <w:lvlJc w:val="left"/>
      <w:pPr>
        <w:ind w:left="281" w:hanging="174"/>
      </w:pPr>
      <w:rPr>
        <w:rFonts w:ascii="Arial Unicode MS" w:eastAsia="Arial Unicode MS" w:hAnsi="Arial Unicode MS" w:cs="Arial Unicode MS" w:hint="default"/>
        <w:b w:val="0"/>
        <w:bCs w:val="0"/>
        <w:i w:val="0"/>
        <w:iCs w:val="0"/>
        <w:spacing w:val="0"/>
        <w:w w:val="114"/>
        <w:sz w:val="18"/>
        <w:szCs w:val="18"/>
        <w:lang w:val="en-US" w:eastAsia="en-US" w:bidi="ar-SA"/>
      </w:rPr>
    </w:lvl>
    <w:lvl w:ilvl="1" w:tplc="A5C8628A">
      <w:numFmt w:val="bullet"/>
      <w:lvlText w:val="•"/>
      <w:lvlJc w:val="left"/>
      <w:pPr>
        <w:ind w:left="1101" w:hanging="174"/>
      </w:pPr>
      <w:rPr>
        <w:rFonts w:hint="default"/>
        <w:lang w:val="en-US" w:eastAsia="en-US" w:bidi="ar-SA"/>
      </w:rPr>
    </w:lvl>
    <w:lvl w:ilvl="2" w:tplc="D7045876">
      <w:numFmt w:val="bullet"/>
      <w:lvlText w:val="•"/>
      <w:lvlJc w:val="left"/>
      <w:pPr>
        <w:ind w:left="1923" w:hanging="174"/>
      </w:pPr>
      <w:rPr>
        <w:rFonts w:hint="default"/>
        <w:lang w:val="en-US" w:eastAsia="en-US" w:bidi="ar-SA"/>
      </w:rPr>
    </w:lvl>
    <w:lvl w:ilvl="3" w:tplc="111CBC9C">
      <w:numFmt w:val="bullet"/>
      <w:lvlText w:val="•"/>
      <w:lvlJc w:val="left"/>
      <w:pPr>
        <w:ind w:left="2744" w:hanging="174"/>
      </w:pPr>
      <w:rPr>
        <w:rFonts w:hint="default"/>
        <w:lang w:val="en-US" w:eastAsia="en-US" w:bidi="ar-SA"/>
      </w:rPr>
    </w:lvl>
    <w:lvl w:ilvl="4" w:tplc="2A8478A2">
      <w:numFmt w:val="bullet"/>
      <w:lvlText w:val="•"/>
      <w:lvlJc w:val="left"/>
      <w:pPr>
        <w:ind w:left="3566" w:hanging="174"/>
      </w:pPr>
      <w:rPr>
        <w:rFonts w:hint="default"/>
        <w:lang w:val="en-US" w:eastAsia="en-US" w:bidi="ar-SA"/>
      </w:rPr>
    </w:lvl>
    <w:lvl w:ilvl="5" w:tplc="506A4E5C">
      <w:numFmt w:val="bullet"/>
      <w:lvlText w:val="•"/>
      <w:lvlJc w:val="left"/>
      <w:pPr>
        <w:ind w:left="4388" w:hanging="174"/>
      </w:pPr>
      <w:rPr>
        <w:rFonts w:hint="default"/>
        <w:lang w:val="en-US" w:eastAsia="en-US" w:bidi="ar-SA"/>
      </w:rPr>
    </w:lvl>
    <w:lvl w:ilvl="6" w:tplc="B298FE5E">
      <w:numFmt w:val="bullet"/>
      <w:lvlText w:val="•"/>
      <w:lvlJc w:val="left"/>
      <w:pPr>
        <w:ind w:left="5209" w:hanging="174"/>
      </w:pPr>
      <w:rPr>
        <w:rFonts w:hint="default"/>
        <w:lang w:val="en-US" w:eastAsia="en-US" w:bidi="ar-SA"/>
      </w:rPr>
    </w:lvl>
    <w:lvl w:ilvl="7" w:tplc="0EB8EA4C">
      <w:numFmt w:val="bullet"/>
      <w:lvlText w:val="•"/>
      <w:lvlJc w:val="left"/>
      <w:pPr>
        <w:ind w:left="6031" w:hanging="174"/>
      </w:pPr>
      <w:rPr>
        <w:rFonts w:hint="default"/>
        <w:lang w:val="en-US" w:eastAsia="en-US" w:bidi="ar-SA"/>
      </w:rPr>
    </w:lvl>
    <w:lvl w:ilvl="8" w:tplc="FF76FADC">
      <w:numFmt w:val="bullet"/>
      <w:lvlText w:val="•"/>
      <w:lvlJc w:val="left"/>
      <w:pPr>
        <w:ind w:left="6852" w:hanging="174"/>
      </w:pPr>
      <w:rPr>
        <w:rFonts w:hint="default"/>
        <w:lang w:val="en-US" w:eastAsia="en-US" w:bidi="ar-SA"/>
      </w:rPr>
    </w:lvl>
  </w:abstractNum>
  <w:num w:numId="1" w16cid:durableId="632951206">
    <w:abstractNumId w:val="0"/>
  </w:num>
  <w:num w:numId="2" w16cid:durableId="1020544143">
    <w:abstractNumId w:val="10"/>
  </w:num>
  <w:num w:numId="3" w16cid:durableId="1038628315">
    <w:abstractNumId w:val="9"/>
  </w:num>
  <w:num w:numId="4" w16cid:durableId="689918220">
    <w:abstractNumId w:val="5"/>
  </w:num>
  <w:num w:numId="5" w16cid:durableId="1343513968">
    <w:abstractNumId w:val="7"/>
  </w:num>
  <w:num w:numId="6" w16cid:durableId="1956981591">
    <w:abstractNumId w:val="2"/>
  </w:num>
  <w:num w:numId="7" w16cid:durableId="2092701964">
    <w:abstractNumId w:val="8"/>
  </w:num>
  <w:num w:numId="8" w16cid:durableId="17320399">
    <w:abstractNumId w:val="6"/>
  </w:num>
  <w:num w:numId="9" w16cid:durableId="840854847">
    <w:abstractNumId w:val="1"/>
  </w:num>
  <w:num w:numId="10" w16cid:durableId="883639546">
    <w:abstractNumId w:val="3"/>
  </w:num>
  <w:num w:numId="11" w16cid:durableId="19520861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C8"/>
    <w:rsid w:val="000F37F8"/>
    <w:rsid w:val="00282BD4"/>
    <w:rsid w:val="00606574"/>
    <w:rsid w:val="00C47B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05D0DD4B"/>
  <w15:docId w15:val="{5421149A-E047-4CFA-ABB6-DCBAC4E01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Arial" w:eastAsia="Arial" w:hAnsi="Arial" w:cs="Ari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spacing w:before="1"/>
    </w:pPr>
    <w:rPr>
      <w:sz w:val="16"/>
      <w:szCs w:val="16"/>
    </w:rPr>
  </w:style>
  <w:style w:type="paragraph" w:styleId="Titolo">
    <w:name w:val="Title"/>
    <w:basedOn w:val="Normale"/>
    <w:uiPriority w:val="1"/>
    <w:qFormat/>
    <w:pPr>
      <w:spacing w:before="1"/>
      <w:ind w:left="2784"/>
    </w:pPr>
    <w:rPr>
      <w:b/>
      <w:bCs/>
      <w:sz w:val="20"/>
      <w:szCs w:val="20"/>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hyperlink" Target="https://www.stoxx.com/document/Indices/Common/Indexguide/stoxx_index_guide.pdf"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5.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hyperlink" Target="http://www.ishares.co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8" Type="http://schemas.openxmlformats.org/officeDocument/2006/relationships/image" Target="media/image2.png"/><Relationship Id="rId51" Type="http://schemas.openxmlformats.org/officeDocument/2006/relationships/image" Target="media/image43.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5278</Words>
  <Characters>30088</Characters>
  <Application>Microsoft Office Word</Application>
  <DocSecurity>4</DocSecurity>
  <Lines>250</Lines>
  <Paragraphs>70</Paragraphs>
  <ScaleCrop>false</ScaleCrop>
  <Company/>
  <LinksUpToDate>false</LinksUpToDate>
  <CharactersWithSpaces>35296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Flanagan, Laura</dc:creator>
  <cp:keywords>, docId:80E20E76F2CAAEC522FD14823872C03E</cp:keywords>
  <cp:lastModifiedBy>Tofi Martina (UniCredit Life Insurance - IT)</cp:lastModifiedBy>
  <cp:revision>2</cp:revision>
  <dcterms:created xsi:type="dcterms:W3CDTF">2026-05-19T10:33:00Z</dcterms:created>
  <dcterms:modified xsi:type="dcterms:W3CDTF">2026-05-19T10:33:00Z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2026-04-08T00:00:00Z</vt:filetime>
  </property>
  <property fmtid="{D5CDD505-2E9C-101B-9397-08002B2CF9AE}" pid="3" name="Creator">
    <vt:lpwstr>Microsoft® Word for Microsoft 365</vt:lpwstr>
  </property>
  <property fmtid="{D5CDD505-2E9C-101B-9397-08002B2CF9AE}" pid="4" name="LastSaved">
    <vt:filetime>2026-05-19T00:00:00Z</vt:filetime>
  </property>
  <property fmtid="{D5CDD505-2E9C-101B-9397-08002B2CF9AE}" pid="5" name="MSIP_Label_e69743c4-5770-45c9-9aca-5aaa145578c5_ActionId">
    <vt:lpwstr>61083eb0-ea75-4556-8ed0-b11c751a0f03</vt:lpwstr>
  </property>
  <property fmtid="{D5CDD505-2E9C-101B-9397-08002B2CF9AE}" pid="6" name="MSIP_Label_e69743c4-5770-45c9-9aca-5aaa145578c5_ContentBits">
    <vt:lpwstr>0</vt:lpwstr>
  </property>
  <property fmtid="{D5CDD505-2E9C-101B-9397-08002B2CF9AE}" pid="7" name="MSIP_Label_e69743c4-5770-45c9-9aca-5aaa145578c5_Enabled">
    <vt:lpwstr>true</vt:lpwstr>
  </property>
  <property fmtid="{D5CDD505-2E9C-101B-9397-08002B2CF9AE}" pid="8" name="MSIP_Label_e69743c4-5770-45c9-9aca-5aaa145578c5_Method">
    <vt:lpwstr>Privileged</vt:lpwstr>
  </property>
  <property fmtid="{D5CDD505-2E9C-101B-9397-08002B2CF9AE}" pid="9" name="MSIP_Label_e69743c4-5770-45c9-9aca-5aaa145578c5_Name">
    <vt:lpwstr>Public (Send Secure)</vt:lpwstr>
  </property>
  <property fmtid="{D5CDD505-2E9C-101B-9397-08002B2CF9AE}" pid="10" name="MSIP_Label_e69743c4-5770-45c9-9aca-5aaa145578c5_SetDate">
    <vt:lpwstr>2023-01-25T15:33:49Z</vt:lpwstr>
  </property>
  <property fmtid="{D5CDD505-2E9C-101B-9397-08002B2CF9AE}" pid="11" name="MSIP_Label_e69743c4-5770-45c9-9aca-5aaa145578c5_SiteId">
    <vt:lpwstr>282a3295-5c42-4d93-9ec1-6631001cc5f7</vt:lpwstr>
  </property>
  <property fmtid="{D5CDD505-2E9C-101B-9397-08002B2CF9AE}" pid="12" name="Producer">
    <vt:lpwstr>Microsoft® Word for Microsoft 365</vt:lpwstr>
  </property>
  <property fmtid="{D5CDD505-2E9C-101B-9397-08002B2CF9AE}" pid="13" name="ROSTAMP">
    <vt:lpwstr>BNM0426U-5377996-16950519</vt:lpwstr>
  </property>
</Properties>
</file>